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C7FA2" w14:textId="3B870E0D"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sidR="00E95A3A">
        <w:rPr>
          <w:rFonts w:ascii="Arial" w:hAnsi="Arial" w:cs="Arial"/>
          <w:b/>
          <w:bCs/>
          <w:snapToGrid w:val="0"/>
          <w:kern w:val="0"/>
          <w:sz w:val="24"/>
          <w:lang w:val="en-GB"/>
        </w:rPr>
        <w:t>22</w:t>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9C0315">
        <w:rPr>
          <w:rFonts w:ascii="Arial" w:hAnsi="Arial" w:cs="Arial"/>
          <w:b/>
          <w:bCs/>
          <w:snapToGrid w:val="0"/>
          <w:kern w:val="0"/>
          <w:sz w:val="24"/>
        </w:rPr>
        <w:tab/>
      </w:r>
      <w:r w:rsidR="00E95A3A">
        <w:rPr>
          <w:rFonts w:ascii="Arial" w:hAnsi="Arial" w:cs="Arial"/>
          <w:b/>
          <w:bCs/>
          <w:snapToGrid w:val="0"/>
          <w:kern w:val="0"/>
          <w:sz w:val="24"/>
        </w:rPr>
        <w:t xml:space="preserve">      </w:t>
      </w:r>
      <w:r w:rsidR="00491278" w:rsidRPr="00491278">
        <w:rPr>
          <w:rFonts w:ascii="Arial" w:hAnsi="Arial" w:cs="Arial"/>
          <w:b/>
          <w:bCs/>
          <w:snapToGrid w:val="0"/>
          <w:kern w:val="0"/>
          <w:sz w:val="24"/>
        </w:rPr>
        <w:t>R2-2306296</w:t>
      </w:r>
    </w:p>
    <w:p w14:paraId="75992903" w14:textId="3F1BAB46" w:rsidR="0096604C" w:rsidRDefault="00E95A3A">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E95A3A">
        <w:rPr>
          <w:rFonts w:ascii="Arial" w:hAnsi="Arial" w:cs="Arial"/>
          <w:b/>
          <w:bCs/>
          <w:kern w:val="0"/>
          <w:sz w:val="24"/>
        </w:rPr>
        <w:t>Incheon, Korea, 22th - 26th May 2023</w:t>
      </w:r>
      <w:r w:rsidR="003D2880">
        <w:rPr>
          <w:rFonts w:ascii="Arial" w:hAnsi="Arial" w:cs="Arial"/>
          <w:b/>
          <w:bCs/>
          <w:kern w:val="0"/>
          <w:sz w:val="24"/>
          <w:lang w:val="en-GB"/>
        </w:rPr>
        <w:tab/>
      </w:r>
      <w:r w:rsidR="003D2880">
        <w:rPr>
          <w:rFonts w:ascii="Arial" w:hAnsi="Arial" w:cs="Arial"/>
          <w:b/>
          <w:bCs/>
          <w:kern w:val="0"/>
          <w:sz w:val="24"/>
          <w:lang w:val="en-GB"/>
        </w:rPr>
        <w:tab/>
        <w:t xml:space="preserve">  </w:t>
      </w:r>
      <w:r w:rsidR="003D2880">
        <w:rPr>
          <w:rFonts w:ascii="Arial" w:hAnsi="Arial" w:cs="Arial"/>
          <w:b/>
          <w:bCs/>
          <w:kern w:val="0"/>
          <w:sz w:val="24"/>
          <w:lang w:val="en-GB"/>
        </w:rPr>
        <w:tab/>
        <w:t xml:space="preserve"> </w:t>
      </w:r>
      <w:r w:rsidR="003D2880">
        <w:rPr>
          <w:rFonts w:ascii="Arial" w:hAnsi="Arial" w:cs="Arial"/>
          <w:b/>
          <w:bCs/>
          <w:kern w:val="0"/>
          <w:sz w:val="24"/>
          <w:lang w:val="en-GB"/>
        </w:rPr>
        <w:tab/>
        <w:t xml:space="preserve">           </w:t>
      </w:r>
      <w:r w:rsidR="003D2880">
        <w:rPr>
          <w:rFonts w:ascii="Arial" w:hAnsi="Arial" w:cs="Arial" w:hint="eastAsia"/>
          <w:b/>
          <w:bCs/>
          <w:kern w:val="0"/>
          <w:sz w:val="24"/>
        </w:rPr>
        <w:t xml:space="preserve">  </w:t>
      </w:r>
    </w:p>
    <w:p w14:paraId="0FC75D04"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14:paraId="6E481EEB" w14:textId="6CC4CA95" w:rsidR="0096604C" w:rsidRDefault="00246D2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Consideration on HO enhancements in NTN</w:t>
      </w:r>
    </w:p>
    <w:p w14:paraId="5FD70D9D" w14:textId="2F864FEF"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6354B6" w:rsidRPr="006354B6">
        <w:rPr>
          <w:rFonts w:ascii="Arial" w:hAnsi="Arial" w:cs="Arial"/>
          <w:b/>
          <w:bCs/>
          <w:snapToGrid w:val="0"/>
          <w:kern w:val="0"/>
          <w:sz w:val="24"/>
        </w:rPr>
        <w:t>7.7.4.2</w:t>
      </w:r>
      <w:bookmarkStart w:id="1" w:name="_GoBack"/>
      <w:bookmarkEnd w:id="1"/>
    </w:p>
    <w:p w14:paraId="58321DC5"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5ACF15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4C3486D" w14:textId="75120982" w:rsidR="0029028F" w:rsidRDefault="0029028F" w:rsidP="0029028F">
      <w:pPr>
        <w:spacing w:line="240" w:lineRule="auto"/>
        <w:jc w:val="left"/>
        <w:rPr>
          <w:rFonts w:ascii="Arial" w:hAnsi="Arial" w:cs="Arial"/>
          <w:bCs/>
          <w:kern w:val="0"/>
          <w:sz w:val="20"/>
          <w:szCs w:val="20"/>
        </w:rPr>
      </w:pPr>
      <w:r w:rsidRPr="0029028F">
        <w:rPr>
          <w:rFonts w:ascii="Arial" w:hAnsi="Arial" w:cs="Arial"/>
          <w:bCs/>
          <w:kern w:val="0"/>
          <w:sz w:val="20"/>
          <w:szCs w:val="20"/>
        </w:rPr>
        <w:t>In this paper, we share some fu</w:t>
      </w:r>
      <w:r w:rsidR="00952A86">
        <w:rPr>
          <w:rFonts w:ascii="Arial" w:hAnsi="Arial" w:cs="Arial"/>
          <w:bCs/>
          <w:kern w:val="0"/>
          <w:sz w:val="20"/>
          <w:szCs w:val="20"/>
        </w:rPr>
        <w:t xml:space="preserve">rther </w:t>
      </w:r>
      <w:r w:rsidR="00270AB1">
        <w:rPr>
          <w:rFonts w:ascii="Arial" w:hAnsi="Arial" w:cs="Arial"/>
          <w:bCs/>
          <w:kern w:val="0"/>
          <w:sz w:val="20"/>
          <w:szCs w:val="20"/>
        </w:rPr>
        <w:t xml:space="preserve">consideration on HO enhancements in NTN, focusing on signaling overhead reduction and PCI unchanged </w:t>
      </w:r>
      <w:r w:rsidR="003F0CCA">
        <w:rPr>
          <w:rFonts w:ascii="Arial" w:hAnsi="Arial" w:cs="Arial"/>
          <w:bCs/>
          <w:kern w:val="0"/>
          <w:sz w:val="20"/>
          <w:szCs w:val="20"/>
        </w:rPr>
        <w:t>scenario</w:t>
      </w:r>
      <w:r w:rsidR="00270AB1">
        <w:rPr>
          <w:rFonts w:ascii="Arial" w:hAnsi="Arial" w:cs="Arial"/>
          <w:bCs/>
          <w:kern w:val="0"/>
          <w:sz w:val="20"/>
          <w:szCs w:val="20"/>
        </w:rPr>
        <w:t>.</w:t>
      </w:r>
    </w:p>
    <w:p w14:paraId="4E504DC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7AE6B538" w14:textId="5DCA73CD" w:rsidR="002B0AA6" w:rsidRDefault="003C79C6" w:rsidP="002B0AA6">
      <w:pPr>
        <w:pStyle w:val="2"/>
        <w:numPr>
          <w:ilvl w:val="1"/>
          <w:numId w:val="3"/>
        </w:numPr>
        <w:rPr>
          <w:b w:val="0"/>
          <w:bCs w:val="0"/>
          <w:sz w:val="28"/>
          <w:szCs w:val="28"/>
          <w:lang w:val="en-US"/>
        </w:rPr>
      </w:pPr>
      <w:r>
        <w:rPr>
          <w:b w:val="0"/>
          <w:bCs w:val="0"/>
          <w:sz w:val="28"/>
          <w:szCs w:val="28"/>
          <w:lang w:val="en-US"/>
        </w:rPr>
        <w:t>Signaling overhead reduction</w:t>
      </w:r>
    </w:p>
    <w:p w14:paraId="56BC3DBE" w14:textId="08E8A716" w:rsidR="00D26EEA" w:rsidRPr="00D26EEA" w:rsidRDefault="00D26EEA" w:rsidP="00D26EEA">
      <w:pPr>
        <w:pStyle w:val="3"/>
        <w:numPr>
          <w:ilvl w:val="2"/>
          <w:numId w:val="3"/>
        </w:numPr>
        <w:rPr>
          <w:b w:val="0"/>
          <w:sz w:val="24"/>
          <w:szCs w:val="24"/>
        </w:rPr>
      </w:pPr>
      <w:r w:rsidRPr="00D26EEA">
        <w:rPr>
          <w:b w:val="0"/>
          <w:sz w:val="24"/>
          <w:szCs w:val="24"/>
        </w:rPr>
        <w:t>Broadcast HO command</w:t>
      </w:r>
    </w:p>
    <w:p w14:paraId="0B84BD63" w14:textId="2984BDC3" w:rsidR="007870C8" w:rsidRDefault="00E85391" w:rsidP="00544C88">
      <w:pPr>
        <w:rPr>
          <w:rFonts w:ascii="Arial" w:hAnsi="Arial" w:cs="Arial"/>
          <w:bCs/>
          <w:kern w:val="0"/>
          <w:sz w:val="20"/>
          <w:szCs w:val="20"/>
        </w:rPr>
      </w:pPr>
      <w:r>
        <w:rPr>
          <w:rFonts w:ascii="Arial" w:hAnsi="Arial" w:cs="Arial"/>
          <w:bCs/>
          <w:kern w:val="0"/>
          <w:sz w:val="20"/>
          <w:szCs w:val="20"/>
        </w:rPr>
        <w:t>In RAN2#121bis</w:t>
      </w:r>
      <w:r w:rsidR="00A45E75">
        <w:rPr>
          <w:rFonts w:ascii="Arial" w:hAnsi="Arial" w:cs="Arial"/>
          <w:bCs/>
          <w:kern w:val="0"/>
          <w:sz w:val="20"/>
          <w:szCs w:val="20"/>
        </w:rPr>
        <w:t xml:space="preserve"> [1]</w:t>
      </w:r>
      <w:r>
        <w:rPr>
          <w:rFonts w:ascii="Arial" w:hAnsi="Arial" w:cs="Arial"/>
          <w:bCs/>
          <w:kern w:val="0"/>
          <w:sz w:val="20"/>
          <w:szCs w:val="20"/>
        </w:rPr>
        <w:t>, there has also been d</w:t>
      </w:r>
      <w:r w:rsidR="00D26EEA">
        <w:rPr>
          <w:rFonts w:ascii="Arial" w:hAnsi="Arial" w:cs="Arial"/>
          <w:bCs/>
          <w:kern w:val="0"/>
          <w:sz w:val="20"/>
          <w:szCs w:val="20"/>
        </w:rPr>
        <w:t>iscussion on whether to support</w:t>
      </w:r>
      <w:r w:rsidR="007870C8">
        <w:rPr>
          <w:rFonts w:ascii="Arial" w:hAnsi="Arial" w:cs="Arial"/>
          <w:bCs/>
          <w:kern w:val="0"/>
          <w:sz w:val="20"/>
          <w:szCs w:val="20"/>
        </w:rPr>
        <w:t xml:space="preserve"> </w:t>
      </w:r>
      <w:r w:rsidRPr="00E85391">
        <w:rPr>
          <w:rFonts w:ascii="Arial" w:hAnsi="Arial" w:cs="Arial"/>
          <w:bCs/>
          <w:kern w:val="0"/>
          <w:sz w:val="20"/>
          <w:szCs w:val="20"/>
        </w:rPr>
        <w:t xml:space="preserve">common target cell configuration of the handover command (e.g., IE </w:t>
      </w:r>
      <w:proofErr w:type="spellStart"/>
      <w:r w:rsidRPr="00E85391">
        <w:rPr>
          <w:rFonts w:ascii="Arial" w:hAnsi="Arial" w:cs="Arial"/>
          <w:bCs/>
          <w:kern w:val="0"/>
          <w:sz w:val="20"/>
          <w:szCs w:val="20"/>
        </w:rPr>
        <w:t>ServingCellConfigCommon</w:t>
      </w:r>
      <w:proofErr w:type="spellEnd"/>
      <w:r w:rsidRPr="00E85391">
        <w:rPr>
          <w:rFonts w:ascii="Arial" w:hAnsi="Arial" w:cs="Arial"/>
          <w:bCs/>
          <w:kern w:val="0"/>
          <w:sz w:val="20"/>
          <w:szCs w:val="20"/>
        </w:rPr>
        <w:t>) via broadcast</w:t>
      </w:r>
      <w:r>
        <w:rPr>
          <w:rFonts w:ascii="Arial" w:hAnsi="Arial" w:cs="Arial"/>
          <w:bCs/>
          <w:kern w:val="0"/>
          <w:sz w:val="20"/>
          <w:szCs w:val="20"/>
        </w:rPr>
        <w:t xml:space="preserve"> or group-cast but the decision is still pending.</w:t>
      </w:r>
    </w:p>
    <w:p w14:paraId="28864D25" w14:textId="29362FDC" w:rsidR="001C6E79" w:rsidRPr="001C6E79" w:rsidRDefault="001C6E79" w:rsidP="001C6E79">
      <w:pPr>
        <w:rPr>
          <w:rFonts w:ascii="Arial" w:hAnsi="Arial" w:cs="Arial"/>
          <w:sz w:val="20"/>
          <w:szCs w:val="20"/>
        </w:rPr>
      </w:pPr>
      <w:r w:rsidRPr="001C6E79">
        <w:rPr>
          <w:rFonts w:ascii="Arial" w:hAnsi="Arial" w:cs="Arial"/>
          <w:sz w:val="20"/>
          <w:szCs w:val="20"/>
        </w:rPr>
        <w:t>In our understanding the main target scenarios for this enhancement is quasi-fixed scenarios, where the HOs is caused due to switch of satellites, and since UEs are served by the same satellite,</w:t>
      </w:r>
      <w:r w:rsidR="00487F95">
        <w:rPr>
          <w:rFonts w:ascii="Arial" w:hAnsi="Arial" w:cs="Arial"/>
          <w:sz w:val="20"/>
          <w:szCs w:val="20"/>
        </w:rPr>
        <w:t xml:space="preserve"> the</w:t>
      </w:r>
      <w:r w:rsidRPr="001C6E79">
        <w:rPr>
          <w:rFonts w:ascii="Arial" w:hAnsi="Arial" w:cs="Arial"/>
          <w:sz w:val="20"/>
          <w:szCs w:val="20"/>
        </w:rPr>
        <w:t xml:space="preserve"> </w:t>
      </w:r>
      <w:r w:rsidR="00487F95">
        <w:rPr>
          <w:rFonts w:ascii="Arial" w:hAnsi="Arial" w:cs="Arial"/>
          <w:sz w:val="20"/>
          <w:szCs w:val="20"/>
        </w:rPr>
        <w:t>target cells</w:t>
      </w:r>
      <w:r w:rsidRPr="001C6E79">
        <w:rPr>
          <w:rFonts w:ascii="Arial" w:hAnsi="Arial" w:cs="Arial"/>
          <w:sz w:val="20"/>
          <w:szCs w:val="20"/>
        </w:rPr>
        <w:t xml:space="preserve"> will be most likely the s</w:t>
      </w:r>
      <w:r>
        <w:rPr>
          <w:rFonts w:ascii="Arial" w:hAnsi="Arial" w:cs="Arial"/>
          <w:sz w:val="20"/>
          <w:szCs w:val="20"/>
        </w:rPr>
        <w:t>ame. In this case common signal</w:t>
      </w:r>
      <w:r w:rsidRPr="001C6E79">
        <w:rPr>
          <w:rFonts w:ascii="Arial" w:hAnsi="Arial" w:cs="Arial"/>
          <w:sz w:val="20"/>
          <w:szCs w:val="20"/>
        </w:rPr>
        <w:t xml:space="preserve">ing can be used to avoid repeat the same common cell configurations to UEs. </w:t>
      </w:r>
    </w:p>
    <w:p w14:paraId="434A4DCC" w14:textId="6CC35BA9" w:rsidR="001C6E79" w:rsidRPr="001C6E79" w:rsidRDefault="001C6E79" w:rsidP="001C6E79">
      <w:pPr>
        <w:rPr>
          <w:rFonts w:ascii="Arial" w:hAnsi="Arial" w:cs="Arial"/>
          <w:b/>
          <w:bCs/>
          <w:sz w:val="20"/>
          <w:szCs w:val="20"/>
        </w:rPr>
      </w:pPr>
      <w:r w:rsidRPr="001C6E79">
        <w:rPr>
          <w:rFonts w:ascii="Arial" w:hAnsi="Arial" w:cs="Arial"/>
          <w:b/>
          <w:bCs/>
          <w:sz w:val="20"/>
          <w:szCs w:val="20"/>
        </w:rPr>
        <w:t xml:space="preserve">Observation 1: For UE serves by the same satellite the </w:t>
      </w:r>
      <w:r w:rsidR="00487F95">
        <w:rPr>
          <w:rFonts w:ascii="Arial" w:hAnsi="Arial" w:cs="Arial"/>
          <w:b/>
          <w:bCs/>
          <w:sz w:val="20"/>
          <w:szCs w:val="20"/>
        </w:rPr>
        <w:t>target cells</w:t>
      </w:r>
      <w:r w:rsidRPr="001C6E79">
        <w:rPr>
          <w:rFonts w:ascii="Arial" w:hAnsi="Arial" w:cs="Arial"/>
          <w:b/>
          <w:bCs/>
          <w:sz w:val="20"/>
          <w:szCs w:val="20"/>
        </w:rPr>
        <w:t xml:space="preserve"> will be most likely the sam</w:t>
      </w:r>
      <w:r w:rsidR="00487F95">
        <w:rPr>
          <w:rFonts w:ascii="Arial" w:hAnsi="Arial" w:cs="Arial"/>
          <w:b/>
          <w:bCs/>
          <w:sz w:val="20"/>
          <w:szCs w:val="20"/>
        </w:rPr>
        <w:t>e, therefore using common signa</w:t>
      </w:r>
      <w:r w:rsidRPr="001C6E79">
        <w:rPr>
          <w:rFonts w:ascii="Arial" w:hAnsi="Arial" w:cs="Arial"/>
          <w:b/>
          <w:bCs/>
          <w:sz w:val="20"/>
          <w:szCs w:val="20"/>
        </w:rPr>
        <w:t>ling can reduce the overhead to repeat the same configurations, e.g. the common cell configurations that are shared among UEs.</w:t>
      </w:r>
    </w:p>
    <w:p w14:paraId="14975E48" w14:textId="61A04ECF" w:rsidR="001C6E79" w:rsidRPr="001C6E79" w:rsidRDefault="001C6E79" w:rsidP="001C6E79">
      <w:pPr>
        <w:rPr>
          <w:rFonts w:ascii="Arial" w:hAnsi="Arial" w:cs="Arial"/>
          <w:sz w:val="20"/>
          <w:szCs w:val="20"/>
        </w:rPr>
      </w:pPr>
      <w:r w:rsidRPr="001C6E79">
        <w:rPr>
          <w:rFonts w:ascii="Arial" w:hAnsi="Arial" w:cs="Arial"/>
          <w:sz w:val="20"/>
          <w:szCs w:val="20"/>
        </w:rPr>
        <w:t xml:space="preserve">In NTN since the neighboring cells are limited, the same set of candidate cells can be configured for UE served by the same satellite, and there is no need to further divide UEs into different groups. In this case, at least for the common part of neighboring cells, e.g., </w:t>
      </w:r>
      <w:proofErr w:type="spellStart"/>
      <w:r w:rsidRPr="001C6E79">
        <w:rPr>
          <w:rFonts w:ascii="Arial" w:hAnsi="Arial" w:cs="Arial"/>
          <w:sz w:val="20"/>
          <w:szCs w:val="20"/>
        </w:rPr>
        <w:t>servingCellCom</w:t>
      </w:r>
      <w:r w:rsidR="002A268C">
        <w:rPr>
          <w:rFonts w:ascii="Arial" w:hAnsi="Arial" w:cs="Arial"/>
          <w:sz w:val="20"/>
          <w:szCs w:val="20"/>
        </w:rPr>
        <w:t>mon</w:t>
      </w:r>
      <w:proofErr w:type="spellEnd"/>
      <w:r w:rsidR="002A268C">
        <w:rPr>
          <w:rFonts w:ascii="Arial" w:hAnsi="Arial" w:cs="Arial"/>
          <w:sz w:val="20"/>
          <w:szCs w:val="20"/>
        </w:rPr>
        <w:t xml:space="preserve">, configuration of candidate </w:t>
      </w:r>
      <w:proofErr w:type="gramStart"/>
      <w:r w:rsidRPr="001C6E79">
        <w:rPr>
          <w:rFonts w:ascii="Arial" w:hAnsi="Arial" w:cs="Arial"/>
          <w:sz w:val="20"/>
          <w:szCs w:val="20"/>
        </w:rPr>
        <w:t>cells(</w:t>
      </w:r>
      <w:proofErr w:type="gramEnd"/>
      <w:r w:rsidRPr="001C6E79">
        <w:rPr>
          <w:rFonts w:ascii="Arial" w:hAnsi="Arial" w:cs="Arial"/>
          <w:sz w:val="20"/>
          <w:szCs w:val="20"/>
        </w:rPr>
        <w:t>e.g., time and reference location threshold associated to the same candidate) can be broadcast to UEs.</w:t>
      </w:r>
    </w:p>
    <w:p w14:paraId="0E08BB76" w14:textId="77777777" w:rsidR="001C6E79" w:rsidRPr="001C6E79" w:rsidRDefault="001C6E79" w:rsidP="001C6E79">
      <w:pPr>
        <w:rPr>
          <w:rFonts w:ascii="Arial" w:hAnsi="Arial" w:cs="Arial"/>
          <w:b/>
          <w:bCs/>
          <w:sz w:val="20"/>
          <w:szCs w:val="20"/>
        </w:rPr>
      </w:pPr>
      <w:r w:rsidRPr="001C6E79">
        <w:rPr>
          <w:rFonts w:ascii="Arial" w:hAnsi="Arial" w:cs="Arial"/>
          <w:b/>
          <w:bCs/>
          <w:sz w:val="20"/>
          <w:szCs w:val="20"/>
        </w:rPr>
        <w:t xml:space="preserve">Observation 2: The NTN neighboring cells are limited which makes it possible to broadcast to UEs served by the same serving cells with the same set of candidate cells without further divisions. </w:t>
      </w:r>
    </w:p>
    <w:p w14:paraId="000C6667" w14:textId="3FB9FDC5" w:rsidR="001C6E79" w:rsidRPr="001C6E79" w:rsidRDefault="001C6E79" w:rsidP="001C6E79">
      <w:pPr>
        <w:rPr>
          <w:rFonts w:ascii="Arial" w:hAnsi="Arial" w:cs="Arial"/>
          <w:sz w:val="20"/>
          <w:szCs w:val="20"/>
        </w:rPr>
      </w:pPr>
      <w:r w:rsidRPr="001C6E79">
        <w:rPr>
          <w:rFonts w:ascii="Arial" w:hAnsi="Arial" w:cs="Arial"/>
          <w:sz w:val="20"/>
          <w:szCs w:val="20"/>
        </w:rPr>
        <w:t>On top of the broadcast c</w:t>
      </w:r>
      <w:r w:rsidR="00487F95">
        <w:rPr>
          <w:rFonts w:ascii="Arial" w:hAnsi="Arial" w:cs="Arial"/>
          <w:sz w:val="20"/>
          <w:szCs w:val="20"/>
        </w:rPr>
        <w:t>onfigurations, dedicated signal</w:t>
      </w:r>
      <w:r w:rsidRPr="001C6E79">
        <w:rPr>
          <w:rFonts w:ascii="Arial" w:hAnsi="Arial" w:cs="Arial"/>
          <w:sz w:val="20"/>
          <w:szCs w:val="20"/>
        </w:rPr>
        <w:t>ing should still be allowed for NW to adjust/modify the (C</w:t>
      </w:r>
      <w:proofErr w:type="gramStart"/>
      <w:r w:rsidRPr="001C6E79">
        <w:rPr>
          <w:rFonts w:ascii="Arial" w:hAnsi="Arial" w:cs="Arial"/>
          <w:sz w:val="20"/>
          <w:szCs w:val="20"/>
        </w:rPr>
        <w:t>)HO</w:t>
      </w:r>
      <w:proofErr w:type="gramEnd"/>
      <w:r w:rsidRPr="001C6E79">
        <w:rPr>
          <w:rFonts w:ascii="Arial" w:hAnsi="Arial" w:cs="Arial"/>
          <w:sz w:val="20"/>
          <w:szCs w:val="20"/>
        </w:rPr>
        <w:t xml:space="preserve"> configuration in system information to meet UE’s specific needs. For example, some UE -</w:t>
      </w:r>
      <w:proofErr w:type="spellStart"/>
      <w:r w:rsidRPr="001C6E79">
        <w:rPr>
          <w:rFonts w:ascii="Arial" w:hAnsi="Arial" w:cs="Arial"/>
          <w:sz w:val="20"/>
          <w:szCs w:val="20"/>
        </w:rPr>
        <w:t>specifc</w:t>
      </w:r>
      <w:proofErr w:type="spellEnd"/>
      <w:r w:rsidRPr="001C6E79">
        <w:rPr>
          <w:rFonts w:ascii="Arial" w:hAnsi="Arial" w:cs="Arial"/>
          <w:sz w:val="20"/>
          <w:szCs w:val="20"/>
        </w:rPr>
        <w:t xml:space="preserve"> </w:t>
      </w:r>
      <w:r w:rsidRPr="001C6E79">
        <w:rPr>
          <w:rFonts w:ascii="Arial" w:hAnsi="Arial" w:cs="Arial"/>
          <w:sz w:val="20"/>
          <w:szCs w:val="20"/>
        </w:rPr>
        <w:lastRenderedPageBreak/>
        <w:t>information (e.g. C</w:t>
      </w:r>
      <w:r w:rsidR="00651414">
        <w:rPr>
          <w:rFonts w:ascii="Arial" w:hAnsi="Arial" w:cs="Arial"/>
          <w:sz w:val="20"/>
          <w:szCs w:val="20"/>
        </w:rPr>
        <w:t>-RNTI, contention free resource</w:t>
      </w:r>
      <w:r w:rsidRPr="001C6E79">
        <w:rPr>
          <w:rFonts w:ascii="Arial" w:hAnsi="Arial" w:cs="Arial"/>
          <w:sz w:val="20"/>
          <w:szCs w:val="20"/>
        </w:rPr>
        <w:t>) might need to be configured for the (C</w:t>
      </w:r>
      <w:proofErr w:type="gramStart"/>
      <w:r w:rsidRPr="001C6E79">
        <w:rPr>
          <w:rFonts w:ascii="Arial" w:hAnsi="Arial" w:cs="Arial"/>
          <w:sz w:val="20"/>
          <w:szCs w:val="20"/>
        </w:rPr>
        <w:t>)HO</w:t>
      </w:r>
      <w:proofErr w:type="gramEnd"/>
      <w:r w:rsidRPr="001C6E79">
        <w:rPr>
          <w:rFonts w:ascii="Arial" w:hAnsi="Arial" w:cs="Arial"/>
          <w:sz w:val="20"/>
          <w:szCs w:val="20"/>
        </w:rPr>
        <w:t xml:space="preserve"> procedure. </w:t>
      </w:r>
    </w:p>
    <w:p w14:paraId="76C12A4C" w14:textId="5CD50301" w:rsidR="001C6E79" w:rsidRPr="001C6E79" w:rsidRDefault="001C6E79" w:rsidP="001C6E79">
      <w:pPr>
        <w:rPr>
          <w:rFonts w:ascii="Arial" w:hAnsi="Arial" w:cs="Arial"/>
          <w:b/>
          <w:bCs/>
          <w:sz w:val="20"/>
          <w:szCs w:val="20"/>
        </w:rPr>
      </w:pPr>
      <w:r w:rsidRPr="001C6E79">
        <w:rPr>
          <w:rFonts w:ascii="Arial" w:hAnsi="Arial" w:cs="Arial"/>
          <w:b/>
          <w:bCs/>
          <w:sz w:val="20"/>
          <w:szCs w:val="20"/>
        </w:rPr>
        <w:t>Observation 3</w:t>
      </w:r>
      <w:r w:rsidR="00487F95">
        <w:rPr>
          <w:rFonts w:ascii="Arial" w:hAnsi="Arial" w:cs="Arial"/>
          <w:b/>
          <w:bCs/>
          <w:sz w:val="20"/>
          <w:szCs w:val="20"/>
        </w:rPr>
        <w:t>: Dedicated signal</w:t>
      </w:r>
      <w:r w:rsidRPr="001C6E79">
        <w:rPr>
          <w:rFonts w:ascii="Arial" w:hAnsi="Arial" w:cs="Arial"/>
          <w:b/>
          <w:bCs/>
          <w:sz w:val="20"/>
          <w:szCs w:val="20"/>
        </w:rPr>
        <w:t>ing is helpful for provide or update (C</w:t>
      </w:r>
      <w:proofErr w:type="gramStart"/>
      <w:r w:rsidRPr="001C6E79">
        <w:rPr>
          <w:rFonts w:ascii="Arial" w:hAnsi="Arial" w:cs="Arial"/>
          <w:b/>
          <w:bCs/>
          <w:sz w:val="20"/>
          <w:szCs w:val="20"/>
        </w:rPr>
        <w:t>)HO</w:t>
      </w:r>
      <w:proofErr w:type="gramEnd"/>
      <w:r w:rsidR="00651414">
        <w:rPr>
          <w:rFonts w:ascii="Arial" w:hAnsi="Arial" w:cs="Arial"/>
          <w:b/>
          <w:bCs/>
          <w:sz w:val="20"/>
          <w:szCs w:val="20"/>
        </w:rPr>
        <w:t xml:space="preserve"> </w:t>
      </w:r>
      <w:r w:rsidRPr="001C6E79">
        <w:rPr>
          <w:rFonts w:ascii="Arial" w:hAnsi="Arial" w:cs="Arial"/>
          <w:b/>
          <w:bCs/>
          <w:sz w:val="20"/>
          <w:szCs w:val="20"/>
        </w:rPr>
        <w:t>configuration broadcast to provide UE specific configuration (e.g., security keys, or contention free resource).</w:t>
      </w:r>
    </w:p>
    <w:p w14:paraId="6B809E3E" w14:textId="77777777" w:rsidR="001C6E79" w:rsidRPr="001C6E79" w:rsidRDefault="001C6E79" w:rsidP="001C6E79">
      <w:pPr>
        <w:rPr>
          <w:rFonts w:ascii="Arial" w:hAnsi="Arial" w:cs="Arial"/>
          <w:b/>
          <w:bCs/>
          <w:sz w:val="20"/>
          <w:szCs w:val="20"/>
        </w:rPr>
      </w:pPr>
      <w:r w:rsidRPr="001C6E79">
        <w:rPr>
          <w:rFonts w:ascii="Arial" w:hAnsi="Arial" w:cs="Arial"/>
          <w:sz w:val="20"/>
          <w:szCs w:val="20"/>
        </w:rPr>
        <w:t>To avoid impact to legacy UEs, a new SIB can be introduced for broadcast the common (C</w:t>
      </w:r>
      <w:proofErr w:type="gramStart"/>
      <w:r w:rsidRPr="001C6E79">
        <w:rPr>
          <w:rFonts w:ascii="Arial" w:hAnsi="Arial" w:cs="Arial"/>
          <w:sz w:val="20"/>
          <w:szCs w:val="20"/>
        </w:rPr>
        <w:t>)HO</w:t>
      </w:r>
      <w:proofErr w:type="gramEnd"/>
      <w:r w:rsidRPr="001C6E79">
        <w:rPr>
          <w:rFonts w:ascii="Arial" w:hAnsi="Arial" w:cs="Arial"/>
          <w:sz w:val="20"/>
          <w:szCs w:val="20"/>
        </w:rPr>
        <w:t xml:space="preserve"> configurations.</w:t>
      </w:r>
    </w:p>
    <w:p w14:paraId="4043A915" w14:textId="77777777" w:rsidR="001C6E79" w:rsidRPr="001C6E79" w:rsidRDefault="001C6E79" w:rsidP="001C6E79">
      <w:pPr>
        <w:rPr>
          <w:rFonts w:ascii="Arial" w:hAnsi="Arial" w:cs="Arial"/>
          <w:b/>
          <w:bCs/>
          <w:sz w:val="20"/>
          <w:szCs w:val="20"/>
        </w:rPr>
      </w:pPr>
      <w:r w:rsidRPr="001C6E79">
        <w:rPr>
          <w:rFonts w:ascii="Arial" w:hAnsi="Arial" w:cs="Arial"/>
          <w:b/>
          <w:bCs/>
          <w:sz w:val="20"/>
          <w:szCs w:val="20"/>
        </w:rPr>
        <w:t>Observation 4: Use new SIB for provide common CHO configuration can avoid impact on legacy UEs.</w:t>
      </w:r>
    </w:p>
    <w:p w14:paraId="7EBA6E81" w14:textId="77777777" w:rsidR="001C6E79" w:rsidRPr="001C6E79" w:rsidRDefault="001C6E79" w:rsidP="001C6E79">
      <w:pPr>
        <w:rPr>
          <w:rFonts w:ascii="Arial" w:hAnsi="Arial" w:cs="Arial"/>
          <w:sz w:val="20"/>
          <w:szCs w:val="20"/>
        </w:rPr>
      </w:pPr>
      <w:r w:rsidRPr="001C6E79">
        <w:rPr>
          <w:rFonts w:ascii="Arial" w:hAnsi="Arial" w:cs="Arial"/>
          <w:sz w:val="20"/>
          <w:szCs w:val="20"/>
        </w:rPr>
        <w:t>Based on above, below proposals are given:</w:t>
      </w:r>
    </w:p>
    <w:p w14:paraId="512E4FEF" w14:textId="77777777" w:rsidR="001C6E79" w:rsidRPr="001C6E79" w:rsidRDefault="001C6E79" w:rsidP="001C6E79">
      <w:pPr>
        <w:rPr>
          <w:rFonts w:ascii="Arial" w:hAnsi="Arial" w:cs="Arial"/>
          <w:b/>
          <w:bCs/>
          <w:sz w:val="20"/>
          <w:szCs w:val="20"/>
        </w:rPr>
      </w:pPr>
      <w:r w:rsidRPr="001C6E79">
        <w:rPr>
          <w:rFonts w:ascii="Arial" w:hAnsi="Arial" w:cs="Arial"/>
          <w:b/>
          <w:bCs/>
          <w:sz w:val="20"/>
          <w:szCs w:val="20"/>
        </w:rPr>
        <w:t>Proposal 1: A new SIB is introduced to broadcast common (C</w:t>
      </w:r>
      <w:proofErr w:type="gramStart"/>
      <w:r w:rsidRPr="001C6E79">
        <w:rPr>
          <w:rFonts w:ascii="Arial" w:hAnsi="Arial" w:cs="Arial"/>
          <w:b/>
          <w:bCs/>
          <w:sz w:val="20"/>
          <w:szCs w:val="20"/>
        </w:rPr>
        <w:t>)HO</w:t>
      </w:r>
      <w:proofErr w:type="gramEnd"/>
      <w:r w:rsidRPr="001C6E79">
        <w:rPr>
          <w:rFonts w:ascii="Arial" w:hAnsi="Arial" w:cs="Arial"/>
          <w:b/>
          <w:bCs/>
          <w:sz w:val="20"/>
          <w:szCs w:val="20"/>
        </w:rPr>
        <w:t xml:space="preserve"> configurations.</w:t>
      </w:r>
    </w:p>
    <w:p w14:paraId="10FC6EFB" w14:textId="0FB78FEE" w:rsidR="00E85391" w:rsidRDefault="001C6E79" w:rsidP="00544C88">
      <w:pPr>
        <w:rPr>
          <w:rFonts w:ascii="Arial" w:hAnsi="Arial" w:cs="Arial"/>
          <w:b/>
          <w:bCs/>
          <w:sz w:val="20"/>
          <w:szCs w:val="20"/>
        </w:rPr>
      </w:pPr>
      <w:r w:rsidRPr="001C6E79">
        <w:rPr>
          <w:rFonts w:ascii="Arial" w:hAnsi="Arial" w:cs="Arial"/>
          <w:b/>
          <w:bCs/>
          <w:sz w:val="20"/>
          <w:szCs w:val="20"/>
        </w:rPr>
        <w:t>P</w:t>
      </w:r>
      <w:r w:rsidR="00487F95">
        <w:rPr>
          <w:rFonts w:ascii="Arial" w:hAnsi="Arial" w:cs="Arial"/>
          <w:b/>
          <w:bCs/>
          <w:sz w:val="20"/>
          <w:szCs w:val="20"/>
        </w:rPr>
        <w:t>roposal 2: Dedicated RRC signal</w:t>
      </w:r>
      <w:r w:rsidRPr="001C6E79">
        <w:rPr>
          <w:rFonts w:ascii="Arial" w:hAnsi="Arial" w:cs="Arial"/>
          <w:b/>
          <w:bCs/>
          <w:sz w:val="20"/>
          <w:szCs w:val="20"/>
        </w:rPr>
        <w:t>ing can be used to modify or release the (C</w:t>
      </w:r>
      <w:proofErr w:type="gramStart"/>
      <w:r w:rsidRPr="001C6E79">
        <w:rPr>
          <w:rFonts w:ascii="Arial" w:hAnsi="Arial" w:cs="Arial"/>
          <w:b/>
          <w:bCs/>
          <w:sz w:val="20"/>
          <w:szCs w:val="20"/>
        </w:rPr>
        <w:t>)HO</w:t>
      </w:r>
      <w:proofErr w:type="gramEnd"/>
      <w:r w:rsidRPr="001C6E79">
        <w:rPr>
          <w:rFonts w:ascii="Arial" w:hAnsi="Arial" w:cs="Arial"/>
          <w:b/>
          <w:bCs/>
          <w:sz w:val="20"/>
          <w:szCs w:val="20"/>
        </w:rPr>
        <w:t xml:space="preserve"> configuration provided in system information.</w:t>
      </w:r>
    </w:p>
    <w:p w14:paraId="4CF7975A" w14:textId="1D8D7898" w:rsidR="007A5354" w:rsidRPr="007A5354" w:rsidRDefault="00654BDF" w:rsidP="00FD5DAF">
      <w:pPr>
        <w:pStyle w:val="3"/>
        <w:numPr>
          <w:ilvl w:val="2"/>
          <w:numId w:val="3"/>
        </w:numPr>
        <w:rPr>
          <w:b w:val="0"/>
          <w:sz w:val="24"/>
          <w:szCs w:val="24"/>
        </w:rPr>
      </w:pPr>
      <w:r>
        <w:rPr>
          <w:b w:val="0"/>
          <w:sz w:val="24"/>
          <w:szCs w:val="24"/>
        </w:rPr>
        <w:t>Index based</w:t>
      </w:r>
      <w:r w:rsidR="007A5354" w:rsidRPr="00D26EEA">
        <w:rPr>
          <w:b w:val="0"/>
          <w:sz w:val="24"/>
          <w:szCs w:val="24"/>
        </w:rPr>
        <w:t xml:space="preserve"> HO command</w:t>
      </w:r>
    </w:p>
    <w:p w14:paraId="528CFE47" w14:textId="3933A06B" w:rsidR="00FD5DAF" w:rsidRPr="00FD5DAF" w:rsidRDefault="00FD5DAF" w:rsidP="00FD5DAF">
      <w:pPr>
        <w:rPr>
          <w:rFonts w:ascii="Arial" w:hAnsi="Arial" w:cs="Arial"/>
          <w:sz w:val="20"/>
          <w:szCs w:val="20"/>
        </w:rPr>
      </w:pPr>
      <w:r>
        <w:rPr>
          <w:rFonts w:ascii="Arial" w:hAnsi="Arial" w:cs="Arial"/>
          <w:sz w:val="20"/>
          <w:szCs w:val="20"/>
        </w:rPr>
        <w:t>T</w:t>
      </w:r>
      <w:r w:rsidRPr="00FD5DAF">
        <w:rPr>
          <w:rFonts w:ascii="Arial" w:hAnsi="Arial" w:cs="Arial"/>
          <w:sz w:val="20"/>
          <w:szCs w:val="20"/>
        </w:rPr>
        <w:t xml:space="preserve">he possibility to allow NW to trigger HO to CHO candidate cells by simply provide target cell identity or CHO index </w:t>
      </w:r>
      <w:r>
        <w:rPr>
          <w:rFonts w:ascii="Arial" w:hAnsi="Arial" w:cs="Arial"/>
          <w:sz w:val="20"/>
          <w:szCs w:val="20"/>
        </w:rPr>
        <w:t>has also been discussed but no</w:t>
      </w:r>
      <w:r w:rsidRPr="00FD5DAF">
        <w:rPr>
          <w:rFonts w:ascii="Arial" w:hAnsi="Arial" w:cs="Arial"/>
          <w:sz w:val="20"/>
          <w:szCs w:val="20"/>
        </w:rPr>
        <w:t xml:space="preserve"> agreements have been achieved. The gain of this enhancement is obvious since almost all of the HO configuration can be omitted while companies still have questions on the target scenarios for this enhancements. </w:t>
      </w:r>
    </w:p>
    <w:p w14:paraId="0603BFE4" w14:textId="77777777" w:rsidR="00FD5DAF" w:rsidRPr="00FD5DAF" w:rsidRDefault="00FD5DAF" w:rsidP="00FD5DAF">
      <w:pPr>
        <w:rPr>
          <w:rFonts w:ascii="Arial" w:hAnsi="Arial" w:cs="Arial"/>
          <w:sz w:val="20"/>
          <w:szCs w:val="20"/>
        </w:rPr>
      </w:pPr>
      <w:r w:rsidRPr="00FD5DAF">
        <w:rPr>
          <w:rFonts w:ascii="Arial" w:hAnsi="Arial" w:cs="Arial"/>
          <w:sz w:val="20"/>
          <w:szCs w:val="20"/>
        </w:rPr>
        <w:t xml:space="preserve">In NTN Time-based and/or location-based CHO can be configured to UE to trigger UE handover to target cell considering the satellite trajectories. And to avoid long service interruption, the triggering condition </w:t>
      </w:r>
      <w:bookmarkStart w:id="4" w:name="OLE_LINK1"/>
      <w:r w:rsidRPr="00FD5DAF">
        <w:rPr>
          <w:rFonts w:ascii="Arial" w:hAnsi="Arial" w:cs="Arial"/>
          <w:sz w:val="20"/>
          <w:szCs w:val="20"/>
        </w:rPr>
        <w:t>is normally set during the period when source and target cell are partially overlapped, which makes it possible to trigger CHO earlier without jeopardize the successful completion of HO to target.</w:t>
      </w:r>
      <w:bookmarkEnd w:id="4"/>
    </w:p>
    <w:p w14:paraId="58E535FD" w14:textId="2114FD3F" w:rsidR="00FD5DAF" w:rsidRPr="00FD5DAF" w:rsidRDefault="00FD5DAF" w:rsidP="00FD5DAF">
      <w:pPr>
        <w:rPr>
          <w:rFonts w:ascii="Arial" w:hAnsi="Arial" w:cs="Arial"/>
          <w:sz w:val="20"/>
          <w:szCs w:val="20"/>
        </w:rPr>
      </w:pPr>
      <w:r w:rsidRPr="00FD5DAF">
        <w:rPr>
          <w:rFonts w:ascii="Arial" w:hAnsi="Arial" w:cs="Arial"/>
          <w:b/>
          <w:bCs/>
          <w:sz w:val="20"/>
          <w:szCs w:val="20"/>
        </w:rPr>
        <w:t xml:space="preserve">Observation </w:t>
      </w:r>
      <w:r>
        <w:rPr>
          <w:rFonts w:ascii="Arial" w:hAnsi="Arial" w:cs="Arial"/>
          <w:b/>
          <w:bCs/>
          <w:sz w:val="20"/>
          <w:szCs w:val="20"/>
        </w:rPr>
        <w:t>5</w:t>
      </w:r>
      <w:r w:rsidRPr="00FD5DAF">
        <w:rPr>
          <w:rFonts w:ascii="Arial" w:hAnsi="Arial" w:cs="Arial"/>
          <w:b/>
          <w:bCs/>
          <w:sz w:val="20"/>
          <w:szCs w:val="20"/>
        </w:rPr>
        <w:t>: The triggering timing configured for distanced/time-based CHO is normally set during the period when source and target cell are partially overlapped, which makes it possible to trigger CHO earlier without jeopardize the successful completion of HO to target.</w:t>
      </w:r>
    </w:p>
    <w:p w14:paraId="6C551289" w14:textId="77777777" w:rsidR="00FD5DAF" w:rsidRPr="00FD5DAF" w:rsidRDefault="00FD5DAF" w:rsidP="00FD5DAF">
      <w:pPr>
        <w:rPr>
          <w:rFonts w:ascii="Arial" w:hAnsi="Arial" w:cs="Arial"/>
          <w:sz w:val="20"/>
          <w:szCs w:val="20"/>
        </w:rPr>
      </w:pPr>
      <w:r w:rsidRPr="00FD5DAF">
        <w:rPr>
          <w:rFonts w:ascii="Arial" w:hAnsi="Arial" w:cs="Arial"/>
          <w:sz w:val="20"/>
          <w:szCs w:val="20"/>
        </w:rPr>
        <w:t>Assuming the originally triggered timing is set as T2, while before T2 there is a sudden increase of connections to current source (e.g., due to shut-down of TN in case of disaster) In this case it shall be allowed for NW to trigger UEs to CHO target cells before the triggering time configured to offload the traffic load from source to target.</w:t>
      </w:r>
    </w:p>
    <w:p w14:paraId="16B4F3A1" w14:textId="773A3506" w:rsidR="00FD5DAF" w:rsidRPr="00FD5DAF" w:rsidRDefault="00FD5DAF" w:rsidP="00FD5DAF">
      <w:pPr>
        <w:rPr>
          <w:rFonts w:ascii="Arial" w:hAnsi="Arial" w:cs="Arial"/>
          <w:b/>
          <w:bCs/>
          <w:sz w:val="20"/>
          <w:szCs w:val="20"/>
        </w:rPr>
      </w:pPr>
      <w:r w:rsidRPr="00FD5DAF">
        <w:rPr>
          <w:rFonts w:ascii="Arial" w:hAnsi="Arial" w:cs="Arial"/>
          <w:b/>
          <w:bCs/>
          <w:sz w:val="20"/>
          <w:szCs w:val="20"/>
        </w:rPr>
        <w:t xml:space="preserve">Observation </w:t>
      </w:r>
      <w:r>
        <w:rPr>
          <w:rFonts w:ascii="Arial" w:hAnsi="Arial" w:cs="Arial"/>
          <w:b/>
          <w:bCs/>
          <w:sz w:val="20"/>
          <w:szCs w:val="20"/>
        </w:rPr>
        <w:t>6</w:t>
      </w:r>
      <w:r w:rsidRPr="00FD5DAF">
        <w:rPr>
          <w:rFonts w:ascii="Arial" w:hAnsi="Arial" w:cs="Arial"/>
          <w:b/>
          <w:bCs/>
          <w:sz w:val="20"/>
          <w:szCs w:val="20"/>
        </w:rPr>
        <w:t>: In case there is sudden increase of connection load to source (e.g., in case disaster when TN is not available) NW can handover UE to CHO candidate cells before CHO is triggered to off-load traffic from source.</w:t>
      </w:r>
    </w:p>
    <w:p w14:paraId="36F323A8" w14:textId="77777777" w:rsidR="00FD5DAF" w:rsidRPr="00FD5DAF" w:rsidRDefault="00FD5DAF" w:rsidP="00FD5DAF">
      <w:pPr>
        <w:rPr>
          <w:rFonts w:ascii="Arial" w:hAnsi="Arial" w:cs="Arial"/>
          <w:sz w:val="20"/>
          <w:szCs w:val="20"/>
        </w:rPr>
      </w:pPr>
      <w:r w:rsidRPr="00FD5DAF">
        <w:rPr>
          <w:rFonts w:ascii="Arial" w:hAnsi="Arial" w:cs="Arial"/>
          <w:sz w:val="20"/>
          <w:szCs w:val="20"/>
        </w:rPr>
        <w:t xml:space="preserve">With the reduction of the payload size, the reception failure of the handover command can be reduced, which would in return reduce the RLF rate and handover failure rate. </w:t>
      </w:r>
    </w:p>
    <w:p w14:paraId="28ABB867" w14:textId="1D1E4F03" w:rsidR="00FD5DAF" w:rsidRPr="00FD5DAF" w:rsidRDefault="00FD5DAF" w:rsidP="00FD5DAF">
      <w:pPr>
        <w:rPr>
          <w:rFonts w:ascii="Arial" w:hAnsi="Arial" w:cs="Arial"/>
          <w:b/>
          <w:bCs/>
          <w:sz w:val="20"/>
          <w:szCs w:val="20"/>
        </w:rPr>
      </w:pPr>
      <w:r w:rsidRPr="00FD5DAF">
        <w:rPr>
          <w:rFonts w:ascii="Arial" w:hAnsi="Arial" w:cs="Arial"/>
          <w:b/>
          <w:bCs/>
          <w:sz w:val="20"/>
          <w:szCs w:val="20"/>
        </w:rPr>
        <w:t xml:space="preserve">Observation </w:t>
      </w:r>
      <w:r>
        <w:rPr>
          <w:rFonts w:ascii="Arial" w:hAnsi="Arial" w:cs="Arial"/>
          <w:b/>
          <w:bCs/>
          <w:sz w:val="20"/>
          <w:szCs w:val="20"/>
        </w:rPr>
        <w:t>7</w:t>
      </w:r>
      <w:r w:rsidRPr="00FD5DAF">
        <w:rPr>
          <w:rFonts w:ascii="Arial" w:hAnsi="Arial" w:cs="Arial"/>
          <w:b/>
          <w:bCs/>
          <w:sz w:val="20"/>
          <w:szCs w:val="20"/>
        </w:rPr>
        <w:t xml:space="preserve">: Reduced HO command size also helps improving the successful rate of reception of </w:t>
      </w:r>
      <w:proofErr w:type="spellStart"/>
      <w:r w:rsidRPr="00FD5DAF">
        <w:rPr>
          <w:rFonts w:ascii="Arial" w:hAnsi="Arial" w:cs="Arial"/>
          <w:b/>
          <w:bCs/>
          <w:sz w:val="20"/>
          <w:szCs w:val="20"/>
        </w:rPr>
        <w:t>RRCReconfigurtaion</w:t>
      </w:r>
      <w:proofErr w:type="spellEnd"/>
      <w:r w:rsidRPr="00FD5DAF">
        <w:rPr>
          <w:rFonts w:ascii="Arial" w:hAnsi="Arial" w:cs="Arial"/>
          <w:b/>
          <w:bCs/>
          <w:sz w:val="20"/>
          <w:szCs w:val="20"/>
        </w:rPr>
        <w:t xml:space="preserve"> message therefore improves overall HO performance.</w:t>
      </w:r>
    </w:p>
    <w:p w14:paraId="5ECE0F1F" w14:textId="77777777" w:rsidR="00FD5DAF" w:rsidRPr="00FD5DAF" w:rsidRDefault="00FD5DAF" w:rsidP="00FD5DAF">
      <w:pPr>
        <w:rPr>
          <w:rFonts w:ascii="Arial" w:hAnsi="Arial" w:cs="Arial"/>
          <w:sz w:val="20"/>
          <w:szCs w:val="20"/>
        </w:rPr>
      </w:pPr>
      <w:r w:rsidRPr="00FD5DAF">
        <w:rPr>
          <w:rFonts w:ascii="Arial" w:hAnsi="Arial" w:cs="Arial"/>
          <w:sz w:val="20"/>
          <w:szCs w:val="20"/>
        </w:rPr>
        <w:t xml:space="preserve">Thus, we understand if the network wants to trigger a conventional handover to one of the configured CHO </w:t>
      </w:r>
      <w:r w:rsidRPr="00FD5DAF">
        <w:rPr>
          <w:rFonts w:ascii="Arial" w:hAnsi="Arial" w:cs="Arial"/>
          <w:sz w:val="20"/>
          <w:szCs w:val="20"/>
        </w:rPr>
        <w:lastRenderedPageBreak/>
        <w:t xml:space="preserve">candidate cells, one target cell indication (e.g. candidate cell identity or index) can be included in the conventional HO command and UE should apply the corresponding </w:t>
      </w:r>
      <w:proofErr w:type="spellStart"/>
      <w:r w:rsidRPr="00FD5DAF">
        <w:rPr>
          <w:rFonts w:ascii="Arial" w:hAnsi="Arial" w:cs="Arial"/>
          <w:i/>
          <w:iCs/>
          <w:sz w:val="20"/>
          <w:szCs w:val="20"/>
        </w:rPr>
        <w:t>condRRCReconfig</w:t>
      </w:r>
      <w:proofErr w:type="spellEnd"/>
      <w:r w:rsidRPr="00FD5DAF">
        <w:rPr>
          <w:rFonts w:ascii="Arial" w:hAnsi="Arial" w:cs="Arial"/>
          <w:sz w:val="20"/>
          <w:szCs w:val="20"/>
        </w:rPr>
        <w:t>.</w:t>
      </w:r>
    </w:p>
    <w:p w14:paraId="47D6A9D0" w14:textId="3458BD05" w:rsidR="00FD5DAF" w:rsidRPr="00FD5DAF" w:rsidRDefault="00FD5DAF" w:rsidP="00FD5DAF">
      <w:pPr>
        <w:jc w:val="left"/>
        <w:rPr>
          <w:rFonts w:ascii="Arial" w:hAnsi="Arial" w:cs="Arial"/>
          <w:b/>
          <w:sz w:val="20"/>
          <w:szCs w:val="20"/>
        </w:rPr>
      </w:pPr>
      <w:r w:rsidRPr="00FD5DAF">
        <w:rPr>
          <w:rFonts w:ascii="Arial" w:hAnsi="Arial" w:cs="Arial"/>
          <w:b/>
          <w:sz w:val="20"/>
          <w:szCs w:val="20"/>
        </w:rPr>
        <w:t xml:space="preserve">Proposal </w:t>
      </w:r>
      <w:r>
        <w:rPr>
          <w:rFonts w:ascii="Arial" w:hAnsi="Arial" w:cs="Arial"/>
          <w:b/>
          <w:sz w:val="20"/>
          <w:szCs w:val="20"/>
        </w:rPr>
        <w:t>3</w:t>
      </w:r>
      <w:r w:rsidRPr="00FD5DAF">
        <w:rPr>
          <w:rFonts w:ascii="Arial" w:hAnsi="Arial" w:cs="Arial"/>
          <w:b/>
          <w:sz w:val="20"/>
          <w:szCs w:val="20"/>
        </w:rPr>
        <w:t xml:space="preserve">: The CHO candidate target cell identity or index can be included in the HO command to trigger conventional handover to this cell thus the detailed configuration would be omitted and UE should apply the </w:t>
      </w:r>
      <w:proofErr w:type="spellStart"/>
      <w:r w:rsidRPr="00FD5DAF">
        <w:rPr>
          <w:rFonts w:ascii="Arial" w:hAnsi="Arial" w:cs="Arial"/>
          <w:b/>
          <w:i/>
          <w:sz w:val="20"/>
          <w:szCs w:val="20"/>
        </w:rPr>
        <w:t>condRRCReconfig</w:t>
      </w:r>
      <w:proofErr w:type="spellEnd"/>
      <w:r w:rsidRPr="00FD5DAF">
        <w:rPr>
          <w:rFonts w:ascii="Arial" w:hAnsi="Arial" w:cs="Arial"/>
          <w:b/>
          <w:sz w:val="20"/>
          <w:szCs w:val="20"/>
        </w:rPr>
        <w:t xml:space="preserve"> stored for this cell.</w:t>
      </w:r>
    </w:p>
    <w:p w14:paraId="20FE2D3B" w14:textId="57C4D77F" w:rsidR="00CD6A7A" w:rsidRPr="007078B9" w:rsidRDefault="001A2FCE" w:rsidP="00CD6A7A">
      <w:pPr>
        <w:pStyle w:val="2"/>
        <w:numPr>
          <w:ilvl w:val="1"/>
          <w:numId w:val="3"/>
        </w:numPr>
        <w:rPr>
          <w:b w:val="0"/>
          <w:bCs w:val="0"/>
          <w:sz w:val="28"/>
          <w:szCs w:val="28"/>
          <w:lang w:val="en-US"/>
        </w:rPr>
      </w:pPr>
      <w:r>
        <w:rPr>
          <w:b w:val="0"/>
          <w:bCs w:val="0"/>
          <w:sz w:val="28"/>
          <w:szCs w:val="28"/>
          <w:lang w:val="en-US"/>
        </w:rPr>
        <w:t>PCI unchanged s</w:t>
      </w:r>
      <w:r w:rsidR="003F0CCA">
        <w:rPr>
          <w:b w:val="0"/>
          <w:bCs w:val="0"/>
          <w:sz w:val="28"/>
          <w:szCs w:val="28"/>
          <w:lang w:val="en-US"/>
        </w:rPr>
        <w:t>cenario</w:t>
      </w:r>
    </w:p>
    <w:p w14:paraId="42DF065B" w14:textId="6C2D7C95" w:rsidR="00892C4A" w:rsidRDefault="00C240A8" w:rsidP="00271A01">
      <w:pPr>
        <w:rPr>
          <w:rFonts w:ascii="Arial" w:hAnsi="Arial" w:cs="Arial"/>
          <w:sz w:val="20"/>
          <w:szCs w:val="20"/>
        </w:rPr>
      </w:pPr>
      <w:r>
        <w:rPr>
          <w:rFonts w:ascii="Arial" w:hAnsi="Arial" w:cs="Arial"/>
          <w:sz w:val="20"/>
          <w:szCs w:val="20"/>
        </w:rPr>
        <w:t>In RAN2#121bis, t</w:t>
      </w:r>
      <w:r w:rsidR="00892C4A">
        <w:rPr>
          <w:rFonts w:ascii="Arial" w:hAnsi="Arial" w:cs="Arial"/>
          <w:sz w:val="20"/>
          <w:szCs w:val="20"/>
        </w:rPr>
        <w:t xml:space="preserve">he following agreements have been made on PCI unchanged </w:t>
      </w:r>
      <w:r w:rsidR="00837C6B">
        <w:rPr>
          <w:rFonts w:ascii="Arial" w:hAnsi="Arial" w:cs="Arial"/>
          <w:sz w:val="20"/>
          <w:szCs w:val="20"/>
        </w:rPr>
        <w:t>solution:</w:t>
      </w:r>
    </w:p>
    <w:p w14:paraId="6537B2C2" w14:textId="4967DEFF" w:rsidR="00616203" w:rsidRPr="00616203" w:rsidRDefault="00616203" w:rsidP="00616203">
      <w:pPr>
        <w:pStyle w:val="afe"/>
        <w:numPr>
          <w:ilvl w:val="0"/>
          <w:numId w:val="19"/>
        </w:numPr>
        <w:ind w:firstLineChars="0"/>
        <w:rPr>
          <w:rFonts w:ascii="Arial" w:hAnsi="Arial" w:cs="Arial"/>
          <w:i/>
          <w:sz w:val="20"/>
          <w:szCs w:val="20"/>
        </w:rPr>
      </w:pPr>
      <w:r w:rsidRPr="00616203">
        <w:rPr>
          <w:rFonts w:ascii="Arial" w:hAnsi="Arial" w:cs="Arial"/>
          <w:i/>
          <w:sz w:val="20"/>
          <w:szCs w:val="20"/>
        </w:rPr>
        <w:t xml:space="preserve">In quasi-earth fixed cell case, for hard satellite switch in the same SSB frequency and same </w:t>
      </w:r>
      <w:proofErr w:type="spellStart"/>
      <w:r w:rsidRPr="00616203">
        <w:rPr>
          <w:rFonts w:ascii="Arial" w:hAnsi="Arial" w:cs="Arial"/>
          <w:i/>
          <w:sz w:val="20"/>
          <w:szCs w:val="20"/>
        </w:rPr>
        <w:t>gNB</w:t>
      </w:r>
      <w:proofErr w:type="spellEnd"/>
      <w:r w:rsidRPr="00616203">
        <w:rPr>
          <w:rFonts w:ascii="Arial" w:hAnsi="Arial" w:cs="Arial"/>
          <w:i/>
          <w:sz w:val="20"/>
          <w:szCs w:val="20"/>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763828F4" w14:textId="076AF3B9" w:rsidR="00837C6B" w:rsidRPr="00616203" w:rsidRDefault="00616203" w:rsidP="00616203">
      <w:pPr>
        <w:pStyle w:val="afe"/>
        <w:numPr>
          <w:ilvl w:val="0"/>
          <w:numId w:val="19"/>
        </w:numPr>
        <w:ind w:firstLineChars="0"/>
        <w:rPr>
          <w:rFonts w:ascii="Arial" w:hAnsi="Arial" w:cs="Arial"/>
          <w:i/>
          <w:sz w:val="20"/>
          <w:szCs w:val="20"/>
        </w:rPr>
      </w:pPr>
      <w:r w:rsidRPr="00616203">
        <w:rPr>
          <w:rFonts w:ascii="Arial" w:hAnsi="Arial" w:cs="Arial"/>
          <w:i/>
          <w:sz w:val="20"/>
          <w:szCs w:val="20"/>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2811607C" w14:textId="06CF5501" w:rsidR="00C240A8" w:rsidRDefault="00C240A8" w:rsidP="00814F79">
      <w:pPr>
        <w:rPr>
          <w:rFonts w:ascii="Arial" w:hAnsi="Arial" w:cs="Arial"/>
          <w:sz w:val="20"/>
          <w:szCs w:val="20"/>
        </w:rPr>
      </w:pPr>
      <w:r>
        <w:rPr>
          <w:rFonts w:ascii="Arial" w:hAnsi="Arial" w:cs="Arial" w:hint="eastAsia"/>
          <w:sz w:val="20"/>
          <w:szCs w:val="20"/>
        </w:rPr>
        <w:t>A</w:t>
      </w:r>
      <w:r w:rsidR="00391938">
        <w:rPr>
          <w:rFonts w:ascii="Arial" w:hAnsi="Arial" w:cs="Arial"/>
          <w:sz w:val="20"/>
          <w:szCs w:val="20"/>
        </w:rPr>
        <w:t xml:space="preserve">n LS has also been sent to </w:t>
      </w:r>
      <w:proofErr w:type="gramStart"/>
      <w:r w:rsidR="00391938">
        <w:rPr>
          <w:rFonts w:ascii="Arial" w:hAnsi="Arial" w:cs="Arial"/>
          <w:sz w:val="20"/>
          <w:szCs w:val="20"/>
        </w:rPr>
        <w:t>RAN1[</w:t>
      </w:r>
      <w:proofErr w:type="gramEnd"/>
      <w:r w:rsidR="00391938">
        <w:rPr>
          <w:rFonts w:ascii="Arial" w:hAnsi="Arial" w:cs="Arial"/>
          <w:sz w:val="20"/>
          <w:szCs w:val="20"/>
        </w:rPr>
        <w:t xml:space="preserve">2] </w:t>
      </w:r>
      <w:r>
        <w:rPr>
          <w:rFonts w:ascii="Arial" w:hAnsi="Arial" w:cs="Arial"/>
          <w:sz w:val="20"/>
          <w:szCs w:val="20"/>
        </w:rPr>
        <w:t>with the following content:</w:t>
      </w:r>
    </w:p>
    <w:p w14:paraId="7F1FE6A9" w14:textId="77777777" w:rsidR="00C240A8" w:rsidRPr="00C240A8" w:rsidRDefault="00C240A8" w:rsidP="00C240A8">
      <w:pPr>
        <w:rPr>
          <w:rFonts w:ascii="Arial" w:hAnsi="Arial" w:cs="Arial"/>
          <w:i/>
          <w:sz w:val="20"/>
          <w:szCs w:val="20"/>
        </w:rPr>
      </w:pPr>
      <w:r w:rsidRPr="00C240A8">
        <w:rPr>
          <w:rFonts w:ascii="Arial" w:hAnsi="Arial" w:cs="Arial"/>
          <w:i/>
          <w:sz w:val="20"/>
          <w:szCs w:val="20"/>
        </w:rPr>
        <w:t>For mobility enhancement in Rel-18 NR NTN, in quasi-earth fixed cell case,</w:t>
      </w:r>
      <w:r w:rsidRPr="00C240A8">
        <w:rPr>
          <w:rFonts w:ascii="Arial" w:hAnsi="Arial" w:cs="Arial" w:hint="eastAsia"/>
          <w:i/>
          <w:sz w:val="20"/>
          <w:szCs w:val="20"/>
        </w:rPr>
        <w:t xml:space="preserve"> </w:t>
      </w:r>
      <w:r w:rsidRPr="00C240A8">
        <w:rPr>
          <w:rFonts w:ascii="Arial" w:hAnsi="Arial" w:cs="Arial"/>
          <w:i/>
          <w:sz w:val="20"/>
          <w:szCs w:val="20"/>
        </w:rPr>
        <w:t xml:space="preserve">RAN2 has discussed unchanged PCI </w:t>
      </w:r>
      <w:r w:rsidRPr="00C240A8">
        <w:rPr>
          <w:rFonts w:ascii="Arial" w:hAnsi="Arial" w:cs="Arial" w:hint="eastAsia"/>
          <w:i/>
          <w:sz w:val="20"/>
          <w:szCs w:val="20"/>
        </w:rPr>
        <w:t>scenario, including</w:t>
      </w:r>
      <w:r w:rsidRPr="00C240A8">
        <w:rPr>
          <w:rFonts w:ascii="Arial" w:hAnsi="Arial" w:cs="Arial"/>
          <w:i/>
          <w:sz w:val="20"/>
          <w:szCs w:val="20"/>
        </w:rPr>
        <w:t xml:space="preserve"> </w:t>
      </w:r>
      <w:r w:rsidRPr="00C240A8">
        <w:rPr>
          <w:rFonts w:ascii="Arial" w:hAnsi="Arial" w:cs="Arial" w:hint="eastAsia"/>
          <w:i/>
          <w:sz w:val="20"/>
          <w:szCs w:val="20"/>
        </w:rPr>
        <w:t xml:space="preserve">hard </w:t>
      </w:r>
      <w:r w:rsidRPr="00C240A8">
        <w:rPr>
          <w:rFonts w:ascii="Arial" w:hAnsi="Arial" w:cs="Arial"/>
          <w:i/>
          <w:sz w:val="20"/>
          <w:szCs w:val="20"/>
        </w:rPr>
        <w:t>satellite switch</w:t>
      </w:r>
      <w:r w:rsidRPr="00C240A8">
        <w:rPr>
          <w:rFonts w:ascii="Arial" w:hAnsi="Arial" w:cs="Arial" w:hint="eastAsia"/>
          <w:i/>
          <w:sz w:val="20"/>
          <w:szCs w:val="20"/>
        </w:rPr>
        <w:t xml:space="preserve">ing </w:t>
      </w:r>
      <w:r w:rsidRPr="00C240A8">
        <w:rPr>
          <w:rFonts w:ascii="Arial" w:hAnsi="Arial" w:cs="Arial"/>
          <w:i/>
          <w:sz w:val="20"/>
          <w:szCs w:val="20"/>
        </w:rPr>
        <w:t>(non-overlapping satellite coverage at switching time) and soft satellite switch</w:t>
      </w:r>
      <w:r w:rsidRPr="00C240A8">
        <w:rPr>
          <w:rFonts w:ascii="Arial" w:hAnsi="Arial" w:cs="Arial" w:hint="eastAsia"/>
          <w:i/>
          <w:sz w:val="20"/>
          <w:szCs w:val="20"/>
        </w:rPr>
        <w:t xml:space="preserve">ing </w:t>
      </w:r>
      <w:r w:rsidRPr="00C240A8">
        <w:rPr>
          <w:rFonts w:ascii="Arial" w:hAnsi="Arial" w:cs="Arial"/>
          <w:i/>
          <w:sz w:val="20"/>
          <w:szCs w:val="20"/>
        </w:rPr>
        <w:t>(overlapping satellite coverage at switching time).</w:t>
      </w:r>
    </w:p>
    <w:p w14:paraId="05E0D7A3" w14:textId="77777777" w:rsidR="00C240A8" w:rsidRPr="00C240A8" w:rsidRDefault="00C240A8" w:rsidP="00C240A8">
      <w:pPr>
        <w:rPr>
          <w:rFonts w:ascii="Arial" w:hAnsi="Arial" w:cs="Arial"/>
          <w:i/>
          <w:sz w:val="20"/>
          <w:szCs w:val="20"/>
        </w:rPr>
      </w:pPr>
      <w:r w:rsidRPr="00C240A8">
        <w:rPr>
          <w:rFonts w:ascii="Arial" w:hAnsi="Arial" w:cs="Arial" w:hint="eastAsia"/>
          <w:i/>
          <w:sz w:val="20"/>
          <w:szCs w:val="20"/>
        </w:rPr>
        <w:t>RAN2 has agreed that, i</w:t>
      </w:r>
      <w:r w:rsidRPr="00C240A8">
        <w:rPr>
          <w:rFonts w:ascii="Arial" w:hAnsi="Arial" w:cs="Arial"/>
          <w:i/>
          <w:sz w:val="20"/>
          <w:szCs w:val="20"/>
        </w:rPr>
        <w:t xml:space="preserve">n quasi-earth fixed cell case, for hard satellite switch in the same SSB frequency and same </w:t>
      </w:r>
      <w:proofErr w:type="spellStart"/>
      <w:r w:rsidRPr="00C240A8">
        <w:rPr>
          <w:rFonts w:ascii="Arial" w:hAnsi="Arial" w:cs="Arial"/>
          <w:i/>
          <w:sz w:val="20"/>
          <w:szCs w:val="20"/>
        </w:rPr>
        <w:t>gNB</w:t>
      </w:r>
      <w:proofErr w:type="spellEnd"/>
      <w:r w:rsidRPr="00C240A8">
        <w:rPr>
          <w:rFonts w:ascii="Arial" w:hAnsi="Arial" w:cs="Arial"/>
          <w:i/>
          <w:sz w:val="20"/>
          <w:szCs w:val="20"/>
        </w:rPr>
        <w:t xml:space="preserve"> (no key change), satellite switching without PCI changing (not requiring L3 mobility) is supported, unless major technical issues are identified by RAN1</w:t>
      </w:r>
      <w:r w:rsidRPr="00C240A8">
        <w:rPr>
          <w:rFonts w:ascii="Arial" w:hAnsi="Arial" w:cs="Arial" w:hint="eastAsia"/>
          <w:i/>
          <w:sz w:val="20"/>
          <w:szCs w:val="20"/>
        </w:rPr>
        <w:t xml:space="preserve">. </w:t>
      </w:r>
      <w:r w:rsidRPr="00C240A8">
        <w:rPr>
          <w:rFonts w:ascii="Arial" w:hAnsi="Arial" w:cs="Arial"/>
          <w:i/>
          <w:sz w:val="20"/>
          <w:szCs w:val="20"/>
        </w:rPr>
        <w:t>RAN2 understands</w:t>
      </w:r>
      <w:r w:rsidRPr="00C240A8">
        <w:rPr>
          <w:rFonts w:ascii="Arial" w:hAnsi="Arial" w:cs="Arial" w:hint="eastAsia"/>
          <w:i/>
          <w:sz w:val="20"/>
          <w:szCs w:val="20"/>
        </w:rPr>
        <w:t xml:space="preserve"> that the standard impact includes</w:t>
      </w:r>
      <w:r w:rsidRPr="00C240A8">
        <w:rPr>
          <w:rFonts w:ascii="Arial" w:hAnsi="Arial" w:cs="Arial"/>
          <w:i/>
          <w:sz w:val="20"/>
          <w:szCs w:val="20"/>
        </w:rPr>
        <w:t xml:space="preserve"> </w:t>
      </w:r>
      <w:r w:rsidRPr="00C240A8">
        <w:rPr>
          <w:rFonts w:ascii="Arial" w:hAnsi="Arial" w:cs="Arial" w:hint="eastAsia"/>
          <w:i/>
          <w:sz w:val="20"/>
          <w:szCs w:val="20"/>
        </w:rPr>
        <w:t>th</w:t>
      </w:r>
      <w:r w:rsidRPr="00C240A8">
        <w:rPr>
          <w:rFonts w:ascii="Arial" w:hAnsi="Arial" w:cs="Arial"/>
          <w:i/>
          <w:sz w:val="20"/>
          <w:szCs w:val="20"/>
        </w:rPr>
        <w:t>at the UE may</w:t>
      </w:r>
      <w:r w:rsidRPr="00C240A8">
        <w:rPr>
          <w:rFonts w:ascii="Arial" w:hAnsi="Arial" w:cs="Arial" w:hint="eastAsia"/>
          <w:i/>
          <w:sz w:val="20"/>
          <w:szCs w:val="20"/>
        </w:rPr>
        <w:t xml:space="preserve"> be notified</w:t>
      </w:r>
      <w:r w:rsidRPr="00C240A8">
        <w:rPr>
          <w:rFonts w:ascii="Arial" w:hAnsi="Arial" w:cs="Arial"/>
          <w:i/>
          <w:sz w:val="20"/>
          <w:szCs w:val="20"/>
        </w:rPr>
        <w:t xml:space="preserve"> to re-acquire DL/UL synchronization </w:t>
      </w:r>
      <w:r w:rsidRPr="00C240A8">
        <w:rPr>
          <w:rFonts w:ascii="Arial" w:hAnsi="Arial" w:cs="Arial" w:hint="eastAsia"/>
          <w:i/>
          <w:sz w:val="20"/>
          <w:szCs w:val="20"/>
        </w:rPr>
        <w:t xml:space="preserve">with the serving cell </w:t>
      </w:r>
      <w:r w:rsidRPr="00C240A8">
        <w:rPr>
          <w:rFonts w:ascii="Arial" w:hAnsi="Arial" w:cs="Arial"/>
          <w:i/>
          <w:sz w:val="20"/>
          <w:szCs w:val="20"/>
        </w:rPr>
        <w:t xml:space="preserve">after the </w:t>
      </w:r>
      <w:r w:rsidRPr="00C240A8">
        <w:rPr>
          <w:rFonts w:ascii="Arial" w:hAnsi="Arial" w:cs="Arial" w:hint="eastAsia"/>
          <w:i/>
          <w:sz w:val="20"/>
          <w:szCs w:val="20"/>
        </w:rPr>
        <w:t xml:space="preserve">satellite </w:t>
      </w:r>
      <w:r w:rsidRPr="00C240A8">
        <w:rPr>
          <w:rFonts w:ascii="Arial" w:hAnsi="Arial" w:cs="Arial"/>
          <w:i/>
          <w:sz w:val="20"/>
          <w:szCs w:val="20"/>
        </w:rPr>
        <w:t>switch</w:t>
      </w:r>
      <w:r w:rsidRPr="00C240A8">
        <w:rPr>
          <w:rFonts w:ascii="Arial" w:hAnsi="Arial" w:cs="Arial" w:hint="eastAsia"/>
          <w:i/>
          <w:sz w:val="20"/>
          <w:szCs w:val="20"/>
        </w:rPr>
        <w:t>ing</w:t>
      </w:r>
      <w:r w:rsidRPr="00C240A8">
        <w:rPr>
          <w:rFonts w:ascii="Arial" w:hAnsi="Arial" w:cs="Arial"/>
          <w:i/>
          <w:sz w:val="20"/>
          <w:szCs w:val="20"/>
        </w:rPr>
        <w:t xml:space="preserve">. </w:t>
      </w:r>
    </w:p>
    <w:p w14:paraId="10219864" w14:textId="2207236D" w:rsidR="00D43647" w:rsidRPr="00D43647" w:rsidRDefault="00C240A8" w:rsidP="00814F79">
      <w:pPr>
        <w:rPr>
          <w:rFonts w:ascii="Arial" w:hAnsi="Arial" w:cs="Arial"/>
          <w:i/>
          <w:sz w:val="20"/>
          <w:szCs w:val="20"/>
        </w:rPr>
      </w:pPr>
      <w:r w:rsidRPr="00C240A8">
        <w:rPr>
          <w:rFonts w:ascii="Arial" w:hAnsi="Arial" w:cs="Arial"/>
          <w:i/>
          <w:sz w:val="20"/>
          <w:szCs w:val="20"/>
        </w:rPr>
        <w:t>RAN2</w:t>
      </w:r>
      <w:r w:rsidRPr="00C240A8">
        <w:rPr>
          <w:rFonts w:ascii="Arial" w:hAnsi="Arial" w:cs="Arial" w:hint="eastAsia"/>
          <w:i/>
          <w:sz w:val="20"/>
          <w:szCs w:val="20"/>
        </w:rPr>
        <w:t xml:space="preserve"> understands that</w:t>
      </w:r>
      <w:r w:rsidRPr="00C240A8">
        <w:rPr>
          <w:rFonts w:ascii="Arial" w:hAnsi="Arial" w:cs="Arial"/>
          <w:i/>
          <w:sz w:val="20"/>
          <w:szCs w:val="20"/>
        </w:rPr>
        <w:t xml:space="preserve"> the feasibility of soft satellite switch</w:t>
      </w:r>
      <w:r w:rsidRPr="00C240A8">
        <w:rPr>
          <w:rFonts w:ascii="Arial" w:hAnsi="Arial" w:cs="Arial" w:hint="eastAsia"/>
          <w:i/>
          <w:sz w:val="20"/>
          <w:szCs w:val="20"/>
        </w:rPr>
        <w:t>ing</w:t>
      </w:r>
      <w:r w:rsidRPr="00C240A8">
        <w:rPr>
          <w:rFonts w:ascii="Arial" w:hAnsi="Arial" w:cs="Arial"/>
          <w:i/>
          <w:sz w:val="20"/>
          <w:szCs w:val="20"/>
        </w:rPr>
        <w:t xml:space="preserve"> without PCI change (not requiring L3 mobility)</w:t>
      </w:r>
      <w:r w:rsidRPr="00C240A8">
        <w:rPr>
          <w:rFonts w:ascii="Arial" w:hAnsi="Arial" w:cs="Arial" w:hint="eastAsia"/>
          <w:i/>
          <w:sz w:val="20"/>
          <w:szCs w:val="20"/>
        </w:rPr>
        <w:t xml:space="preserve"> is more relevant to RAN1 aspects, and would like to check its feasibility with RAN1.</w:t>
      </w:r>
    </w:p>
    <w:p w14:paraId="191D0534" w14:textId="4A5E62F5" w:rsidR="00814F79" w:rsidRPr="00814F79" w:rsidRDefault="00D43647" w:rsidP="00814F79">
      <w:pPr>
        <w:rPr>
          <w:rFonts w:ascii="Arial" w:hAnsi="Arial" w:cs="Arial"/>
          <w:sz w:val="20"/>
          <w:szCs w:val="20"/>
        </w:rPr>
      </w:pPr>
      <w:r>
        <w:rPr>
          <w:rFonts w:ascii="Arial" w:hAnsi="Arial" w:cs="Arial"/>
          <w:sz w:val="20"/>
          <w:szCs w:val="20"/>
        </w:rPr>
        <w:t>On supporting satellite switching without PCI change,</w:t>
      </w:r>
      <w:r w:rsidR="00814F79" w:rsidRPr="00814F79">
        <w:rPr>
          <w:rFonts w:ascii="Arial" w:hAnsi="Arial" w:cs="Arial"/>
          <w:sz w:val="20"/>
          <w:szCs w:val="20"/>
        </w:rPr>
        <w:t xml:space="preserve"> since the satellite switch timing is predictable and is common for all UEs within the cell, </w:t>
      </w:r>
      <w:r>
        <w:rPr>
          <w:rFonts w:ascii="Arial" w:hAnsi="Arial" w:cs="Arial"/>
          <w:sz w:val="20"/>
          <w:szCs w:val="20"/>
        </w:rPr>
        <w:t xml:space="preserve">we understand </w:t>
      </w:r>
      <w:r w:rsidR="00814F79" w:rsidRPr="00814F79">
        <w:rPr>
          <w:rFonts w:ascii="Arial" w:hAnsi="Arial" w:cs="Arial"/>
          <w:sz w:val="20"/>
          <w:szCs w:val="20"/>
        </w:rPr>
        <w:t xml:space="preserve">system information (e.g., SIB19) can be used to indicate UE when the switch will happens. </w:t>
      </w:r>
    </w:p>
    <w:p w14:paraId="095D4DDF" w14:textId="4A53261C" w:rsidR="00814F79" w:rsidRPr="00814F79" w:rsidRDefault="00814F79" w:rsidP="00814F79">
      <w:pPr>
        <w:rPr>
          <w:rFonts w:ascii="Arial" w:hAnsi="Arial" w:cs="Arial"/>
          <w:b/>
          <w:bCs/>
          <w:sz w:val="20"/>
          <w:szCs w:val="20"/>
        </w:rPr>
      </w:pPr>
      <w:bookmarkStart w:id="5" w:name="OLE_LINK5"/>
      <w:r w:rsidRPr="00814F79">
        <w:rPr>
          <w:rFonts w:ascii="Arial" w:hAnsi="Arial" w:cs="Arial"/>
          <w:b/>
          <w:bCs/>
          <w:sz w:val="20"/>
          <w:szCs w:val="20"/>
        </w:rPr>
        <w:t xml:space="preserve">Observation </w:t>
      </w:r>
      <w:r w:rsidR="00D43647">
        <w:rPr>
          <w:rFonts w:ascii="Arial" w:hAnsi="Arial" w:cs="Arial"/>
          <w:b/>
          <w:bCs/>
          <w:sz w:val="20"/>
          <w:szCs w:val="20"/>
        </w:rPr>
        <w:t>8</w:t>
      </w:r>
      <w:r w:rsidRPr="00814F79">
        <w:rPr>
          <w:rFonts w:ascii="Arial" w:hAnsi="Arial" w:cs="Arial"/>
          <w:b/>
          <w:bCs/>
          <w:sz w:val="20"/>
          <w:szCs w:val="20"/>
        </w:rPr>
        <w:t xml:space="preserve">: The switch timing for PCI unchanged scenarios is predictable and is common for all UEs within the cell, therefore it is </w:t>
      </w:r>
      <w:r w:rsidR="00D43647">
        <w:rPr>
          <w:rFonts w:ascii="Arial" w:hAnsi="Arial" w:cs="Arial"/>
          <w:b/>
          <w:bCs/>
          <w:sz w:val="20"/>
          <w:szCs w:val="20"/>
        </w:rPr>
        <w:t xml:space="preserve">possible </w:t>
      </w:r>
      <w:r w:rsidRPr="00814F79">
        <w:rPr>
          <w:rFonts w:ascii="Arial" w:hAnsi="Arial" w:cs="Arial"/>
          <w:b/>
          <w:bCs/>
          <w:sz w:val="20"/>
          <w:szCs w:val="20"/>
        </w:rPr>
        <w:t>to use system information (e.g., SIB19) to inform UE the satellite switch timing.</w:t>
      </w:r>
    </w:p>
    <w:p w14:paraId="5B811D68" w14:textId="77777777" w:rsidR="00814F79" w:rsidRPr="00814F79" w:rsidRDefault="00814F79" w:rsidP="00814F79">
      <w:pPr>
        <w:rPr>
          <w:rFonts w:ascii="Arial" w:hAnsi="Arial" w:cs="Arial"/>
          <w:sz w:val="20"/>
          <w:szCs w:val="20"/>
        </w:rPr>
      </w:pPr>
      <w:r w:rsidRPr="00814F79">
        <w:rPr>
          <w:rFonts w:ascii="Arial" w:hAnsi="Arial" w:cs="Arial"/>
          <w:sz w:val="20"/>
          <w:szCs w:val="20"/>
        </w:rPr>
        <w:t>After the satellite switch, UE needs to obtain the DL synchronization to new satellite and regain UL synchronization if needed, where UE is needed to be informed with timing such actions are performed. And there are two options can be considered for this purpose:</w:t>
      </w:r>
    </w:p>
    <w:p w14:paraId="0351FDDF" w14:textId="7A27A9A7" w:rsidR="00814F79" w:rsidRPr="00814F79" w:rsidRDefault="00814F79" w:rsidP="005E5466">
      <w:pPr>
        <w:numPr>
          <w:ilvl w:val="0"/>
          <w:numId w:val="22"/>
        </w:numPr>
        <w:rPr>
          <w:rFonts w:ascii="Arial" w:hAnsi="Arial" w:cs="Arial"/>
          <w:sz w:val="20"/>
          <w:szCs w:val="20"/>
        </w:rPr>
      </w:pPr>
      <w:r w:rsidRPr="00814F79">
        <w:rPr>
          <w:rFonts w:ascii="Arial" w:hAnsi="Arial" w:cs="Arial"/>
          <w:sz w:val="20"/>
          <w:szCs w:val="20"/>
        </w:rPr>
        <w:lastRenderedPageBreak/>
        <w:t xml:space="preserve">Opt1: Explicit indication </w:t>
      </w:r>
      <w:r w:rsidR="00445AFB">
        <w:rPr>
          <w:rFonts w:ascii="Arial" w:hAnsi="Arial" w:cs="Arial"/>
          <w:sz w:val="20"/>
          <w:szCs w:val="20"/>
        </w:rPr>
        <w:t>+ reuse the t-Service</w:t>
      </w:r>
      <w:r w:rsidR="00773FBD">
        <w:rPr>
          <w:rFonts w:ascii="Arial" w:hAnsi="Arial" w:cs="Arial"/>
          <w:sz w:val="20"/>
          <w:szCs w:val="20"/>
        </w:rPr>
        <w:t xml:space="preserve"> field</w:t>
      </w:r>
    </w:p>
    <w:p w14:paraId="7B84F461" w14:textId="77777777" w:rsidR="00814F79" w:rsidRPr="00814F79" w:rsidRDefault="00814F79" w:rsidP="005E5466">
      <w:pPr>
        <w:numPr>
          <w:ilvl w:val="0"/>
          <w:numId w:val="22"/>
        </w:numPr>
        <w:rPr>
          <w:rFonts w:ascii="Arial" w:hAnsi="Arial" w:cs="Arial"/>
          <w:sz w:val="20"/>
          <w:szCs w:val="20"/>
        </w:rPr>
      </w:pPr>
      <w:r w:rsidRPr="00814F79">
        <w:rPr>
          <w:rFonts w:ascii="Arial" w:hAnsi="Arial" w:cs="Arial"/>
          <w:sz w:val="20"/>
          <w:szCs w:val="20"/>
        </w:rPr>
        <w:t>Opt2: New indication to indicate the satellite switch timing</w:t>
      </w:r>
    </w:p>
    <w:p w14:paraId="084D2C18" w14:textId="1B28552B" w:rsidR="00814F79" w:rsidRPr="00814F79" w:rsidRDefault="00814F79" w:rsidP="00814F79">
      <w:pPr>
        <w:rPr>
          <w:rFonts w:ascii="Arial" w:hAnsi="Arial" w:cs="Arial"/>
          <w:sz w:val="20"/>
          <w:szCs w:val="20"/>
        </w:rPr>
      </w:pPr>
      <w:r w:rsidRPr="00814F79">
        <w:rPr>
          <w:rFonts w:ascii="Arial" w:hAnsi="Arial" w:cs="Arial"/>
          <w:sz w:val="20"/>
          <w:szCs w:val="20"/>
        </w:rPr>
        <w:t>For option 1, since t-</w:t>
      </w:r>
      <w:r w:rsidR="00773FBD">
        <w:rPr>
          <w:rFonts w:ascii="Arial" w:hAnsi="Arial" w:cs="Arial"/>
          <w:sz w:val="20"/>
          <w:szCs w:val="20"/>
        </w:rPr>
        <w:t>S</w:t>
      </w:r>
      <w:r w:rsidRPr="00814F79">
        <w:rPr>
          <w:rFonts w:ascii="Arial" w:hAnsi="Arial" w:cs="Arial"/>
          <w:sz w:val="20"/>
          <w:szCs w:val="20"/>
        </w:rPr>
        <w:t>ervice has been introduced in R17 to indicate the time current serving cell will stop provide service, it is possible to reuse this information to indicate the time when the current serving cell will stop provide service</w:t>
      </w:r>
      <w:r w:rsidR="00922B46">
        <w:rPr>
          <w:rFonts w:ascii="Arial" w:hAnsi="Arial" w:cs="Arial"/>
          <w:sz w:val="20"/>
          <w:szCs w:val="20"/>
        </w:rPr>
        <w:t xml:space="preserve"> also for</w:t>
      </w:r>
      <w:r w:rsidR="003F0898" w:rsidRPr="003F0898">
        <w:t xml:space="preserve"> </w:t>
      </w:r>
      <w:r w:rsidR="003F0898" w:rsidRPr="003F0898">
        <w:rPr>
          <w:rFonts w:ascii="Arial" w:hAnsi="Arial" w:cs="Arial"/>
          <w:sz w:val="20"/>
          <w:szCs w:val="20"/>
        </w:rPr>
        <w:t>satellite switching without PCI change</w:t>
      </w:r>
      <w:r w:rsidRPr="00814F79">
        <w:rPr>
          <w:rFonts w:ascii="Arial" w:hAnsi="Arial" w:cs="Arial"/>
          <w:sz w:val="20"/>
          <w:szCs w:val="20"/>
        </w:rPr>
        <w:t xml:space="preserve">. However, to allow UE to </w:t>
      </w:r>
      <w:r w:rsidR="003F0898">
        <w:rPr>
          <w:rFonts w:ascii="Arial" w:hAnsi="Arial" w:cs="Arial"/>
          <w:sz w:val="20"/>
          <w:szCs w:val="20"/>
        </w:rPr>
        <w:t xml:space="preserve">know that the PCI would remain </w:t>
      </w:r>
      <w:r w:rsidRPr="00814F79">
        <w:rPr>
          <w:rFonts w:ascii="Arial" w:hAnsi="Arial" w:cs="Arial"/>
          <w:sz w:val="20"/>
          <w:szCs w:val="20"/>
        </w:rPr>
        <w:t xml:space="preserve">unchanged after service link switch, additional indication can be used together to inform UE that the same PCI is used, which can be easily done by introducing a one-bit indication in SIB19. Since legacy t-service is only used for idle/inactive UEs to initiate neighboring cell measurements while for PCI unchanged it is for connected mode UEs, therefore there shall be no confusions at UE is the same IE is reused. </w:t>
      </w:r>
    </w:p>
    <w:p w14:paraId="2B111238" w14:textId="195A461C" w:rsidR="00814F79" w:rsidRPr="00814F79" w:rsidRDefault="00814F79" w:rsidP="00814F79">
      <w:pPr>
        <w:rPr>
          <w:rFonts w:ascii="Arial" w:hAnsi="Arial" w:cs="Arial"/>
          <w:sz w:val="20"/>
          <w:szCs w:val="20"/>
        </w:rPr>
      </w:pPr>
      <w:r w:rsidRPr="00814F79">
        <w:rPr>
          <w:rFonts w:ascii="Arial" w:hAnsi="Arial" w:cs="Arial"/>
          <w:sz w:val="20"/>
          <w:szCs w:val="20"/>
        </w:rPr>
        <w:t>For option 2, a new t-service like IE is introduced, where the presence of this IE can be considered as implicit indication to UE that the same PCI is used. As discussed above, the switch timing is the same for UEs within the same cell coverage, once the configuration is given for UE supports this feature it will starts to switch to new satellite at the time indicated, there is no need t</w:t>
      </w:r>
      <w:r w:rsidR="00567AEE">
        <w:rPr>
          <w:rFonts w:ascii="Arial" w:hAnsi="Arial" w:cs="Arial"/>
          <w:sz w:val="20"/>
          <w:szCs w:val="20"/>
        </w:rPr>
        <w:t>o introduce UE dedicated signal</w:t>
      </w:r>
      <w:r w:rsidRPr="00814F79">
        <w:rPr>
          <w:rFonts w:ascii="Arial" w:hAnsi="Arial" w:cs="Arial"/>
          <w:sz w:val="20"/>
          <w:szCs w:val="20"/>
        </w:rPr>
        <w:t>ing. While for UE not supporting this feature, it will just ignores the configuration. This option may be more flexible since it is possible for NW to configure a switch timing slightly earlier to allow more time for UE to switch to the up-coming satellite, also the configuration can be independent from time-based cell reselection, which is cleaner</w:t>
      </w:r>
      <w:r w:rsidR="00E72E2D">
        <w:rPr>
          <w:rFonts w:ascii="Arial" w:hAnsi="Arial" w:cs="Arial"/>
          <w:sz w:val="20"/>
          <w:szCs w:val="20"/>
        </w:rPr>
        <w:t>.</w:t>
      </w:r>
    </w:p>
    <w:p w14:paraId="48F4C470" w14:textId="4119E6E8" w:rsidR="00814F79" w:rsidRPr="00814F79" w:rsidRDefault="00753A62" w:rsidP="00814F79">
      <w:pPr>
        <w:rPr>
          <w:rFonts w:ascii="Arial" w:hAnsi="Arial" w:cs="Arial"/>
          <w:b/>
          <w:bCs/>
          <w:sz w:val="20"/>
          <w:szCs w:val="20"/>
        </w:rPr>
      </w:pPr>
      <w:r>
        <w:rPr>
          <w:rFonts w:ascii="Arial" w:hAnsi="Arial" w:cs="Arial"/>
          <w:b/>
          <w:bCs/>
          <w:sz w:val="20"/>
          <w:szCs w:val="20"/>
        </w:rPr>
        <w:t>Observation 9</w:t>
      </w:r>
      <w:r w:rsidR="00814F79" w:rsidRPr="00814F79">
        <w:rPr>
          <w:rFonts w:ascii="Arial" w:hAnsi="Arial" w:cs="Arial"/>
          <w:b/>
          <w:bCs/>
          <w:sz w:val="20"/>
          <w:szCs w:val="20"/>
        </w:rPr>
        <w:t xml:space="preserve">: </w:t>
      </w:r>
      <w:r w:rsidR="00A51EC4">
        <w:rPr>
          <w:rFonts w:ascii="Arial" w:hAnsi="Arial" w:cs="Arial"/>
          <w:b/>
          <w:bCs/>
          <w:sz w:val="20"/>
          <w:szCs w:val="20"/>
        </w:rPr>
        <w:t xml:space="preserve">Introducing a new </w:t>
      </w:r>
      <w:r w:rsidR="00814F79" w:rsidRPr="00814F79">
        <w:rPr>
          <w:rFonts w:ascii="Arial" w:hAnsi="Arial" w:cs="Arial"/>
          <w:b/>
          <w:bCs/>
          <w:sz w:val="20"/>
          <w:szCs w:val="20"/>
        </w:rPr>
        <w:t>IE t</w:t>
      </w:r>
      <w:r w:rsidR="00A51EC4">
        <w:rPr>
          <w:rFonts w:ascii="Arial" w:hAnsi="Arial" w:cs="Arial"/>
          <w:b/>
          <w:bCs/>
          <w:sz w:val="20"/>
          <w:szCs w:val="20"/>
        </w:rPr>
        <w:t xml:space="preserve">o indicate the satellite timing, </w:t>
      </w:r>
      <w:r w:rsidR="00814F79" w:rsidRPr="00814F79">
        <w:rPr>
          <w:rFonts w:ascii="Arial" w:hAnsi="Arial" w:cs="Arial"/>
          <w:b/>
          <w:bCs/>
          <w:sz w:val="20"/>
          <w:szCs w:val="20"/>
        </w:rPr>
        <w:t xml:space="preserve">where the presence of this new IE </w:t>
      </w:r>
      <w:r w:rsidR="00A51EC4">
        <w:rPr>
          <w:rFonts w:ascii="Arial" w:hAnsi="Arial" w:cs="Arial"/>
          <w:b/>
          <w:bCs/>
          <w:sz w:val="20"/>
          <w:szCs w:val="20"/>
        </w:rPr>
        <w:t>also act</w:t>
      </w:r>
      <w:r w:rsidR="00814F79" w:rsidRPr="00814F79">
        <w:rPr>
          <w:rFonts w:ascii="Arial" w:hAnsi="Arial" w:cs="Arial"/>
          <w:b/>
          <w:bCs/>
          <w:sz w:val="20"/>
          <w:szCs w:val="20"/>
        </w:rPr>
        <w:t xml:space="preserve"> as implicit indication to UE </w:t>
      </w:r>
      <w:r w:rsidR="00A51EC4">
        <w:rPr>
          <w:rFonts w:ascii="Arial" w:hAnsi="Arial" w:cs="Arial"/>
          <w:b/>
          <w:bCs/>
          <w:sz w:val="20"/>
          <w:szCs w:val="20"/>
        </w:rPr>
        <w:t xml:space="preserve">that the same PCI is used, </w:t>
      </w:r>
      <w:r w:rsidR="00814F79" w:rsidRPr="00814F79">
        <w:rPr>
          <w:rFonts w:ascii="Arial" w:hAnsi="Arial" w:cs="Arial"/>
          <w:b/>
          <w:bCs/>
          <w:sz w:val="20"/>
          <w:szCs w:val="20"/>
        </w:rPr>
        <w:t>is mo</w:t>
      </w:r>
      <w:r w:rsidR="00A51EC4">
        <w:rPr>
          <w:rFonts w:ascii="Arial" w:hAnsi="Arial" w:cs="Arial"/>
          <w:b/>
          <w:bCs/>
          <w:sz w:val="20"/>
          <w:szCs w:val="20"/>
        </w:rPr>
        <w:t>re future proofing and flexible compared to reusing the t-Service field and introducing explicit indication.</w:t>
      </w:r>
    </w:p>
    <w:p w14:paraId="7120CB36" w14:textId="77777777" w:rsidR="00814F79" w:rsidRPr="00814F79" w:rsidRDefault="00814F79" w:rsidP="00814F79">
      <w:pPr>
        <w:rPr>
          <w:rFonts w:ascii="Arial" w:hAnsi="Arial" w:cs="Arial"/>
          <w:sz w:val="20"/>
          <w:szCs w:val="20"/>
        </w:rPr>
      </w:pPr>
      <w:r w:rsidRPr="00814F79">
        <w:rPr>
          <w:rFonts w:ascii="Arial" w:hAnsi="Arial" w:cs="Arial"/>
          <w:sz w:val="20"/>
          <w:szCs w:val="20"/>
        </w:rPr>
        <w:t>Therefore, it is proposed to adopt option 2 to indicate UE that the satellite switch timing without changing PCI.</w:t>
      </w:r>
    </w:p>
    <w:p w14:paraId="1220BE3F" w14:textId="2D28A27C" w:rsidR="00814F79" w:rsidRPr="00814F79" w:rsidRDefault="00814F79" w:rsidP="00814F79">
      <w:pPr>
        <w:rPr>
          <w:rFonts w:ascii="Arial" w:hAnsi="Arial" w:cs="Arial"/>
          <w:b/>
          <w:bCs/>
          <w:sz w:val="20"/>
          <w:szCs w:val="20"/>
        </w:rPr>
      </w:pPr>
      <w:r w:rsidRPr="00814F79">
        <w:rPr>
          <w:rFonts w:ascii="Arial" w:hAnsi="Arial" w:cs="Arial"/>
          <w:b/>
          <w:bCs/>
          <w:sz w:val="20"/>
          <w:szCs w:val="20"/>
        </w:rPr>
        <w:t xml:space="preserve">Proposal </w:t>
      </w:r>
      <w:r w:rsidR="00753A62">
        <w:rPr>
          <w:rFonts w:ascii="Arial" w:hAnsi="Arial" w:cs="Arial"/>
          <w:b/>
          <w:bCs/>
          <w:sz w:val="20"/>
          <w:szCs w:val="20"/>
        </w:rPr>
        <w:t>4</w:t>
      </w:r>
      <w:r w:rsidRPr="00814F79">
        <w:rPr>
          <w:rFonts w:ascii="Arial" w:hAnsi="Arial" w:cs="Arial"/>
          <w:b/>
          <w:bCs/>
          <w:sz w:val="20"/>
          <w:szCs w:val="20"/>
        </w:rPr>
        <w:t xml:space="preserve">: In NTN, a new </w:t>
      </w:r>
      <w:r w:rsidR="00753A62">
        <w:rPr>
          <w:rFonts w:ascii="Arial" w:hAnsi="Arial" w:cs="Arial"/>
          <w:b/>
          <w:bCs/>
          <w:sz w:val="20"/>
          <w:szCs w:val="20"/>
        </w:rPr>
        <w:t>IE</w:t>
      </w:r>
      <w:r w:rsidRPr="00814F79">
        <w:rPr>
          <w:rFonts w:ascii="Arial" w:hAnsi="Arial" w:cs="Arial"/>
          <w:b/>
          <w:bCs/>
          <w:sz w:val="20"/>
          <w:szCs w:val="20"/>
        </w:rPr>
        <w:t xml:space="preserve"> is introdu</w:t>
      </w:r>
      <w:r w:rsidR="00753A62">
        <w:rPr>
          <w:rFonts w:ascii="Arial" w:hAnsi="Arial" w:cs="Arial"/>
          <w:b/>
          <w:bCs/>
          <w:sz w:val="20"/>
          <w:szCs w:val="20"/>
        </w:rPr>
        <w:t>ced in system information (e.g.</w:t>
      </w:r>
      <w:r w:rsidRPr="00814F79">
        <w:rPr>
          <w:rFonts w:ascii="Arial" w:hAnsi="Arial" w:cs="Arial"/>
          <w:b/>
          <w:bCs/>
          <w:sz w:val="20"/>
          <w:szCs w:val="20"/>
        </w:rPr>
        <w:t>SIB19) to indicate the time when UE nee</w:t>
      </w:r>
      <w:r w:rsidR="00922B46">
        <w:rPr>
          <w:rFonts w:ascii="Arial" w:hAnsi="Arial" w:cs="Arial"/>
          <w:b/>
          <w:bCs/>
          <w:sz w:val="20"/>
          <w:szCs w:val="20"/>
        </w:rPr>
        <w:t>ds to start switching to the up</w:t>
      </w:r>
      <w:r w:rsidRPr="00814F79">
        <w:rPr>
          <w:rFonts w:ascii="Arial" w:hAnsi="Arial" w:cs="Arial"/>
          <w:b/>
          <w:bCs/>
          <w:sz w:val="20"/>
          <w:szCs w:val="20"/>
        </w:rPr>
        <w:t>coming satellite, where the presence of this IE is used as implicit indication that the same PCI is used after the satellite switch.</w:t>
      </w:r>
    </w:p>
    <w:p w14:paraId="0D2F3275" w14:textId="7149CB53" w:rsidR="00814F79" w:rsidRPr="00814F79" w:rsidRDefault="00814F79" w:rsidP="00814F79">
      <w:pPr>
        <w:rPr>
          <w:rFonts w:ascii="Arial" w:hAnsi="Arial" w:cs="Arial"/>
          <w:sz w:val="20"/>
          <w:szCs w:val="20"/>
        </w:rPr>
      </w:pPr>
      <w:r w:rsidRPr="00814F79">
        <w:rPr>
          <w:rFonts w:ascii="Arial" w:hAnsi="Arial" w:cs="Arial"/>
          <w:sz w:val="20"/>
          <w:szCs w:val="20"/>
        </w:rPr>
        <w:t>During the switch, since there could be minor interruption,</w:t>
      </w:r>
      <w:r w:rsidR="00753A62">
        <w:rPr>
          <w:rFonts w:ascii="Arial" w:hAnsi="Arial" w:cs="Arial"/>
          <w:sz w:val="20"/>
          <w:szCs w:val="20"/>
        </w:rPr>
        <w:t xml:space="preserve"> UE is not expected to transmit</w:t>
      </w:r>
      <w:r w:rsidRPr="00814F79">
        <w:rPr>
          <w:rFonts w:ascii="Arial" w:hAnsi="Arial" w:cs="Arial"/>
          <w:sz w:val="20"/>
          <w:szCs w:val="20"/>
        </w:rPr>
        <w:t xml:space="preserve"> any uplink data before regain synchronization to target satellite. Also, UE needs to reacquire new SIB19 from target in order to obtain necessary assisting information for performing pre-compensation. Whether there is a need to perform RACH to fine-tuning TA may relevant to whether there is any uplink data arriving for transmission. i.e., UE triggers RACH when there is UL data arrival. While for arrival of DL data, it is possible for NW to use PDCCH order to trigger UE to perform RACH which is legacy behavior. </w:t>
      </w:r>
    </w:p>
    <w:p w14:paraId="66AF757D" w14:textId="75D48D26" w:rsidR="00814F79" w:rsidRPr="00814F79" w:rsidRDefault="00814F79" w:rsidP="00814F79">
      <w:pPr>
        <w:rPr>
          <w:rFonts w:ascii="Arial" w:hAnsi="Arial" w:cs="Arial"/>
          <w:b/>
          <w:bCs/>
          <w:sz w:val="20"/>
          <w:szCs w:val="20"/>
        </w:rPr>
      </w:pPr>
      <w:r w:rsidRPr="00814F79">
        <w:rPr>
          <w:rFonts w:ascii="Arial" w:hAnsi="Arial" w:cs="Arial"/>
          <w:b/>
          <w:bCs/>
          <w:sz w:val="20"/>
          <w:szCs w:val="20"/>
        </w:rPr>
        <w:t>Observation 1</w:t>
      </w:r>
      <w:r w:rsidR="009D6493">
        <w:rPr>
          <w:rFonts w:ascii="Arial" w:hAnsi="Arial" w:cs="Arial"/>
          <w:b/>
          <w:bCs/>
          <w:sz w:val="20"/>
          <w:szCs w:val="20"/>
        </w:rPr>
        <w:t>0</w:t>
      </w:r>
      <w:r w:rsidRPr="00814F79">
        <w:rPr>
          <w:rFonts w:ascii="Arial" w:hAnsi="Arial" w:cs="Arial"/>
          <w:b/>
          <w:bCs/>
          <w:sz w:val="20"/>
          <w:szCs w:val="20"/>
        </w:rPr>
        <w:t xml:space="preserve">: Below UE actions are expected in case hard satellite switch without changing PCI: </w:t>
      </w:r>
    </w:p>
    <w:p w14:paraId="743B2515" w14:textId="77777777" w:rsidR="00814F79" w:rsidRPr="00814F79" w:rsidRDefault="00814F79" w:rsidP="004E2A7C">
      <w:pPr>
        <w:numPr>
          <w:ilvl w:val="0"/>
          <w:numId w:val="24"/>
        </w:numPr>
        <w:spacing w:line="240" w:lineRule="auto"/>
        <w:rPr>
          <w:rFonts w:ascii="Arial" w:hAnsi="Arial" w:cs="Arial"/>
          <w:b/>
          <w:bCs/>
          <w:sz w:val="20"/>
          <w:szCs w:val="20"/>
        </w:rPr>
      </w:pPr>
      <w:r w:rsidRPr="00814F79">
        <w:rPr>
          <w:rFonts w:ascii="Arial" w:hAnsi="Arial" w:cs="Arial"/>
          <w:b/>
          <w:bCs/>
          <w:sz w:val="20"/>
          <w:szCs w:val="20"/>
        </w:rPr>
        <w:t>Flush HARQ buffer and stop uplink transmissions if any until regain uplink synchronization to target</w:t>
      </w:r>
    </w:p>
    <w:p w14:paraId="1C0A8D51" w14:textId="77777777" w:rsidR="00814F79" w:rsidRPr="00814F79" w:rsidRDefault="00814F79" w:rsidP="004E2A7C">
      <w:pPr>
        <w:numPr>
          <w:ilvl w:val="0"/>
          <w:numId w:val="24"/>
        </w:numPr>
        <w:spacing w:line="240" w:lineRule="auto"/>
        <w:rPr>
          <w:rFonts w:ascii="Arial" w:hAnsi="Arial" w:cs="Arial"/>
          <w:b/>
          <w:bCs/>
          <w:sz w:val="20"/>
          <w:szCs w:val="20"/>
        </w:rPr>
      </w:pPr>
      <w:r w:rsidRPr="00814F79">
        <w:rPr>
          <w:rFonts w:ascii="Arial" w:hAnsi="Arial" w:cs="Arial"/>
          <w:b/>
          <w:bCs/>
          <w:sz w:val="20"/>
          <w:szCs w:val="20"/>
        </w:rPr>
        <w:t>Reacquire SIB19 from target satellite to obtain necessary assisting information for synchronization</w:t>
      </w:r>
    </w:p>
    <w:p w14:paraId="5BDC2B79" w14:textId="77777777" w:rsidR="00814F79" w:rsidRPr="00814F79" w:rsidRDefault="00814F79" w:rsidP="004E2A7C">
      <w:pPr>
        <w:numPr>
          <w:ilvl w:val="0"/>
          <w:numId w:val="24"/>
        </w:numPr>
        <w:spacing w:line="240" w:lineRule="auto"/>
        <w:rPr>
          <w:rFonts w:ascii="Arial" w:hAnsi="Arial" w:cs="Arial"/>
          <w:b/>
          <w:bCs/>
          <w:sz w:val="20"/>
          <w:szCs w:val="20"/>
        </w:rPr>
      </w:pPr>
      <w:r w:rsidRPr="00814F79">
        <w:rPr>
          <w:rFonts w:ascii="Arial" w:hAnsi="Arial" w:cs="Arial"/>
          <w:b/>
          <w:bCs/>
          <w:sz w:val="20"/>
          <w:szCs w:val="20"/>
        </w:rPr>
        <w:t>Initiate RACH to fine-tuning TA, which is needed only when there is any UL data arriving or can be trigger by PDCCH order in case DL data arrival</w:t>
      </w:r>
    </w:p>
    <w:p w14:paraId="287CB300" w14:textId="77777777" w:rsidR="00814F79" w:rsidRPr="00814F79" w:rsidRDefault="00814F79" w:rsidP="00814F79">
      <w:pPr>
        <w:rPr>
          <w:rFonts w:ascii="Arial" w:hAnsi="Arial" w:cs="Arial"/>
          <w:sz w:val="20"/>
          <w:szCs w:val="20"/>
        </w:rPr>
      </w:pPr>
      <w:r w:rsidRPr="00814F79">
        <w:rPr>
          <w:rFonts w:ascii="Arial" w:hAnsi="Arial" w:cs="Arial"/>
          <w:sz w:val="20"/>
          <w:szCs w:val="20"/>
        </w:rPr>
        <w:t xml:space="preserve">According to current specs, UE will stop UL transmission and flush HARQ, and reacquire SIB19 when T430 expires which is the same behaviors as described in the first two bullets in above observation. It is also noticed </w:t>
      </w:r>
      <w:r w:rsidRPr="00814F79">
        <w:rPr>
          <w:rFonts w:ascii="Arial" w:hAnsi="Arial" w:cs="Arial"/>
          <w:sz w:val="20"/>
          <w:szCs w:val="20"/>
        </w:rPr>
        <w:lastRenderedPageBreak/>
        <w:t>the third bullet in above observation is similar to the existing triggering condition for RACH when TAT time expires but there is DL/UL data arriving. Therefore the simplest method to capture behaviors described in above observation in specs is to assume T430 and TAT timer as expired at the timing indicated by NW as discussed in observation 12.</w:t>
      </w:r>
    </w:p>
    <w:p w14:paraId="52EBCC02" w14:textId="7A12C56A" w:rsidR="00814F79" w:rsidRDefault="00814F79" w:rsidP="00814F79">
      <w:pPr>
        <w:rPr>
          <w:rFonts w:ascii="Arial" w:hAnsi="Arial" w:cs="Arial"/>
          <w:b/>
          <w:bCs/>
          <w:sz w:val="20"/>
          <w:szCs w:val="20"/>
        </w:rPr>
      </w:pPr>
      <w:r w:rsidRPr="00814F79">
        <w:rPr>
          <w:rFonts w:ascii="Arial" w:hAnsi="Arial" w:cs="Arial"/>
          <w:b/>
          <w:bCs/>
          <w:sz w:val="20"/>
          <w:szCs w:val="20"/>
        </w:rPr>
        <w:t xml:space="preserve">Proposal </w:t>
      </w:r>
      <w:r w:rsidR="00753A62">
        <w:rPr>
          <w:rFonts w:ascii="Arial" w:hAnsi="Arial" w:cs="Arial"/>
          <w:b/>
          <w:bCs/>
          <w:sz w:val="20"/>
          <w:szCs w:val="20"/>
        </w:rPr>
        <w:t>5</w:t>
      </w:r>
      <w:r w:rsidRPr="00814F79">
        <w:rPr>
          <w:rFonts w:ascii="Arial" w:hAnsi="Arial" w:cs="Arial"/>
          <w:b/>
          <w:bCs/>
          <w:sz w:val="20"/>
          <w:szCs w:val="20"/>
        </w:rPr>
        <w:t>: If provided with the new IE as discussed in P5 (the IE indicate the time when UE nee</w:t>
      </w:r>
      <w:r w:rsidR="00C676E6">
        <w:rPr>
          <w:rFonts w:ascii="Arial" w:hAnsi="Arial" w:cs="Arial"/>
          <w:b/>
          <w:bCs/>
          <w:sz w:val="20"/>
          <w:szCs w:val="20"/>
        </w:rPr>
        <w:t>ds to start switching to the up</w:t>
      </w:r>
      <w:r w:rsidRPr="00814F79">
        <w:rPr>
          <w:rFonts w:ascii="Arial" w:hAnsi="Arial" w:cs="Arial"/>
          <w:b/>
          <w:bCs/>
          <w:sz w:val="20"/>
          <w:szCs w:val="20"/>
        </w:rPr>
        <w:t xml:space="preserve">coming satellite), UE consider </w:t>
      </w:r>
      <w:proofErr w:type="spellStart"/>
      <w:r w:rsidRPr="00814F79">
        <w:rPr>
          <w:rFonts w:ascii="Arial" w:hAnsi="Arial" w:cs="Arial"/>
          <w:b/>
          <w:bCs/>
          <w:sz w:val="20"/>
          <w:szCs w:val="20"/>
        </w:rPr>
        <w:t>TimeAlignmentTimer</w:t>
      </w:r>
      <w:proofErr w:type="spellEnd"/>
      <w:r w:rsidRPr="00814F79">
        <w:rPr>
          <w:rFonts w:ascii="Arial" w:hAnsi="Arial" w:cs="Arial"/>
          <w:b/>
          <w:bCs/>
          <w:sz w:val="20"/>
          <w:szCs w:val="20"/>
        </w:rPr>
        <w:t xml:space="preserve"> timer and T430 as expired at the time i</w:t>
      </w:r>
      <w:r w:rsidR="00753A62">
        <w:rPr>
          <w:rFonts w:ascii="Arial" w:hAnsi="Arial" w:cs="Arial"/>
          <w:b/>
          <w:bCs/>
          <w:sz w:val="20"/>
          <w:szCs w:val="20"/>
        </w:rPr>
        <w:t xml:space="preserve">ndicated by the new IE received and perform the </w:t>
      </w:r>
      <w:r w:rsidR="004E2A7C">
        <w:rPr>
          <w:rFonts w:ascii="Arial" w:hAnsi="Arial" w:cs="Arial"/>
          <w:b/>
          <w:bCs/>
          <w:sz w:val="20"/>
          <w:szCs w:val="20"/>
        </w:rPr>
        <w:t>following actions:</w:t>
      </w:r>
    </w:p>
    <w:p w14:paraId="14752EF8" w14:textId="77777777" w:rsidR="004E2A7C" w:rsidRPr="00814F79" w:rsidRDefault="004E2A7C" w:rsidP="004E2A7C">
      <w:pPr>
        <w:numPr>
          <w:ilvl w:val="0"/>
          <w:numId w:val="23"/>
        </w:numPr>
        <w:spacing w:line="240" w:lineRule="auto"/>
        <w:rPr>
          <w:rFonts w:ascii="Arial" w:hAnsi="Arial" w:cs="Arial"/>
          <w:b/>
          <w:bCs/>
          <w:sz w:val="20"/>
          <w:szCs w:val="20"/>
        </w:rPr>
      </w:pPr>
      <w:r w:rsidRPr="00814F79">
        <w:rPr>
          <w:rFonts w:ascii="Arial" w:hAnsi="Arial" w:cs="Arial"/>
          <w:b/>
          <w:bCs/>
          <w:sz w:val="20"/>
          <w:szCs w:val="20"/>
        </w:rPr>
        <w:t>Flush HARQ buffer and stop uplink transmissions if any until regain uplink synchronization to target</w:t>
      </w:r>
    </w:p>
    <w:p w14:paraId="6E97AC98" w14:textId="77777777" w:rsidR="004E2A7C" w:rsidRPr="00814F79" w:rsidRDefault="004E2A7C" w:rsidP="004E2A7C">
      <w:pPr>
        <w:numPr>
          <w:ilvl w:val="0"/>
          <w:numId w:val="23"/>
        </w:numPr>
        <w:spacing w:line="240" w:lineRule="auto"/>
        <w:rPr>
          <w:rFonts w:ascii="Arial" w:hAnsi="Arial" w:cs="Arial"/>
          <w:b/>
          <w:bCs/>
          <w:sz w:val="20"/>
          <w:szCs w:val="20"/>
        </w:rPr>
      </w:pPr>
      <w:r w:rsidRPr="00814F79">
        <w:rPr>
          <w:rFonts w:ascii="Arial" w:hAnsi="Arial" w:cs="Arial"/>
          <w:b/>
          <w:bCs/>
          <w:sz w:val="20"/>
          <w:szCs w:val="20"/>
        </w:rPr>
        <w:t>Reacquire SIB19 from target satellite to obtain necessary assisting information for synchronization</w:t>
      </w:r>
    </w:p>
    <w:p w14:paraId="3D2C6CBE" w14:textId="3B9087C5" w:rsidR="004E2A7C" w:rsidRPr="004E2A7C" w:rsidRDefault="004E2A7C" w:rsidP="004E2A7C">
      <w:pPr>
        <w:numPr>
          <w:ilvl w:val="0"/>
          <w:numId w:val="23"/>
        </w:numPr>
        <w:spacing w:line="240" w:lineRule="auto"/>
        <w:rPr>
          <w:rFonts w:ascii="Arial" w:hAnsi="Arial" w:cs="Arial"/>
          <w:b/>
          <w:bCs/>
          <w:sz w:val="20"/>
          <w:szCs w:val="20"/>
        </w:rPr>
      </w:pPr>
      <w:r w:rsidRPr="00814F79">
        <w:rPr>
          <w:rFonts w:ascii="Arial" w:hAnsi="Arial" w:cs="Arial"/>
          <w:b/>
          <w:bCs/>
          <w:sz w:val="20"/>
          <w:szCs w:val="20"/>
        </w:rPr>
        <w:t>Initiate RACH to fine-tuning TA, which is needed only when there is any UL data arriving or can be trigger by PDCCH order in case DL data arrival</w:t>
      </w:r>
    </w:p>
    <w:bookmarkEnd w:id="3"/>
    <w:bookmarkEnd w:id="5"/>
    <w:p w14:paraId="4AE1FD29" w14:textId="6C50E8F5"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AB9F3B9" w14:textId="4B637051" w:rsidR="0096604C" w:rsidRDefault="003D2880">
      <w:pPr>
        <w:rPr>
          <w:rFonts w:ascii="Arial" w:hAnsi="Arial" w:cs="Arial"/>
          <w:bCs/>
          <w:kern w:val="0"/>
          <w:sz w:val="20"/>
          <w:szCs w:val="20"/>
        </w:rPr>
      </w:pPr>
      <w:r>
        <w:rPr>
          <w:rFonts w:ascii="Arial" w:hAnsi="Arial" w:cs="Arial"/>
          <w:bCs/>
          <w:kern w:val="0"/>
          <w:sz w:val="20"/>
          <w:szCs w:val="20"/>
        </w:rPr>
        <w:t>Based on the analysis in previous s</w:t>
      </w:r>
      <w:r w:rsidR="00624BA3">
        <w:rPr>
          <w:rFonts w:ascii="Arial" w:hAnsi="Arial" w:cs="Arial"/>
          <w:bCs/>
          <w:kern w:val="0"/>
          <w:sz w:val="20"/>
          <w:szCs w:val="20"/>
        </w:rPr>
        <w:t xml:space="preserve">ections, the following </w:t>
      </w:r>
      <w:r w:rsidR="005A3B53">
        <w:rPr>
          <w:rFonts w:ascii="Arial" w:hAnsi="Arial" w:cs="Arial"/>
          <w:bCs/>
          <w:kern w:val="0"/>
          <w:sz w:val="20"/>
          <w:szCs w:val="20"/>
        </w:rPr>
        <w:t xml:space="preserve">observations and </w:t>
      </w:r>
      <w:r w:rsidR="00624BA3">
        <w:rPr>
          <w:rFonts w:ascii="Arial" w:hAnsi="Arial" w:cs="Arial"/>
          <w:bCs/>
          <w:kern w:val="0"/>
          <w:sz w:val="20"/>
          <w:szCs w:val="20"/>
        </w:rPr>
        <w:t>proposal</w:t>
      </w:r>
      <w:r w:rsidR="00300761">
        <w:rPr>
          <w:rFonts w:ascii="Arial" w:hAnsi="Arial" w:cs="Arial"/>
          <w:bCs/>
          <w:kern w:val="0"/>
          <w:sz w:val="20"/>
          <w:szCs w:val="20"/>
        </w:rPr>
        <w:t>s</w:t>
      </w:r>
      <w:r>
        <w:rPr>
          <w:rFonts w:ascii="Arial" w:hAnsi="Arial" w:cs="Arial"/>
          <w:bCs/>
          <w:kern w:val="0"/>
          <w:sz w:val="20"/>
          <w:szCs w:val="20"/>
        </w:rPr>
        <w:t xml:space="preserve"> </w:t>
      </w:r>
      <w:r w:rsidR="00300761">
        <w:rPr>
          <w:rFonts w:ascii="Arial" w:hAnsi="Arial" w:cs="Arial"/>
          <w:bCs/>
          <w:kern w:val="0"/>
          <w:sz w:val="20"/>
          <w:szCs w:val="20"/>
        </w:rPr>
        <w:t>are</w:t>
      </w:r>
      <w:r w:rsidR="00624BA3">
        <w:rPr>
          <w:rFonts w:ascii="Arial" w:hAnsi="Arial" w:cs="Arial"/>
          <w:bCs/>
          <w:kern w:val="0"/>
          <w:sz w:val="20"/>
          <w:szCs w:val="20"/>
        </w:rPr>
        <w:t xml:space="preserve"> </w:t>
      </w:r>
      <w:r>
        <w:rPr>
          <w:rFonts w:ascii="Arial" w:hAnsi="Arial" w:cs="Arial"/>
          <w:bCs/>
          <w:kern w:val="0"/>
          <w:sz w:val="20"/>
          <w:szCs w:val="20"/>
        </w:rPr>
        <w:t xml:space="preserve">given: </w:t>
      </w:r>
    </w:p>
    <w:p w14:paraId="40D8B761" w14:textId="002BD94C" w:rsidR="005A3B53" w:rsidRDefault="002D11E4">
      <w:pPr>
        <w:rPr>
          <w:rFonts w:ascii="Arial" w:hAnsi="Arial" w:cs="Arial"/>
          <w:bCs/>
          <w:kern w:val="0"/>
          <w:sz w:val="20"/>
          <w:szCs w:val="20"/>
          <w:u w:val="single"/>
        </w:rPr>
      </w:pPr>
      <w:r w:rsidRPr="002D11E4">
        <w:rPr>
          <w:rFonts w:ascii="Arial" w:hAnsi="Arial" w:cs="Arial"/>
          <w:bCs/>
          <w:kern w:val="0"/>
          <w:sz w:val="20"/>
          <w:szCs w:val="20"/>
          <w:u w:val="single"/>
        </w:rPr>
        <w:t>Broadcast HO command</w:t>
      </w:r>
    </w:p>
    <w:p w14:paraId="40E426F3" w14:textId="77777777" w:rsidR="002D11E4" w:rsidRPr="001C6E79" w:rsidRDefault="002D11E4" w:rsidP="002D11E4">
      <w:pPr>
        <w:rPr>
          <w:rFonts w:ascii="Arial" w:hAnsi="Arial" w:cs="Arial"/>
          <w:b/>
          <w:bCs/>
          <w:sz w:val="20"/>
          <w:szCs w:val="20"/>
        </w:rPr>
      </w:pPr>
      <w:r w:rsidRPr="001C6E79">
        <w:rPr>
          <w:rFonts w:ascii="Arial" w:hAnsi="Arial" w:cs="Arial"/>
          <w:b/>
          <w:bCs/>
          <w:sz w:val="20"/>
          <w:szCs w:val="20"/>
        </w:rPr>
        <w:t>Proposal 1: A new SIB is introduced to broadcast common (C</w:t>
      </w:r>
      <w:proofErr w:type="gramStart"/>
      <w:r w:rsidRPr="001C6E79">
        <w:rPr>
          <w:rFonts w:ascii="Arial" w:hAnsi="Arial" w:cs="Arial"/>
          <w:b/>
          <w:bCs/>
          <w:sz w:val="20"/>
          <w:szCs w:val="20"/>
        </w:rPr>
        <w:t>)HO</w:t>
      </w:r>
      <w:proofErr w:type="gramEnd"/>
      <w:r w:rsidRPr="001C6E79">
        <w:rPr>
          <w:rFonts w:ascii="Arial" w:hAnsi="Arial" w:cs="Arial"/>
          <w:b/>
          <w:bCs/>
          <w:sz w:val="20"/>
          <w:szCs w:val="20"/>
        </w:rPr>
        <w:t xml:space="preserve"> configurations.</w:t>
      </w:r>
    </w:p>
    <w:p w14:paraId="0BB71DF5" w14:textId="77777777" w:rsidR="002D11E4" w:rsidRDefault="002D11E4" w:rsidP="002D11E4">
      <w:pPr>
        <w:rPr>
          <w:rFonts w:ascii="Arial" w:hAnsi="Arial" w:cs="Arial"/>
          <w:b/>
          <w:bCs/>
          <w:sz w:val="20"/>
          <w:szCs w:val="20"/>
        </w:rPr>
      </w:pPr>
      <w:r w:rsidRPr="001C6E79">
        <w:rPr>
          <w:rFonts w:ascii="Arial" w:hAnsi="Arial" w:cs="Arial"/>
          <w:b/>
          <w:bCs/>
          <w:sz w:val="20"/>
          <w:szCs w:val="20"/>
        </w:rPr>
        <w:t>P</w:t>
      </w:r>
      <w:r>
        <w:rPr>
          <w:rFonts w:ascii="Arial" w:hAnsi="Arial" w:cs="Arial"/>
          <w:b/>
          <w:bCs/>
          <w:sz w:val="20"/>
          <w:szCs w:val="20"/>
        </w:rPr>
        <w:t>roposal 2: Dedicated RRC signal</w:t>
      </w:r>
      <w:r w:rsidRPr="001C6E79">
        <w:rPr>
          <w:rFonts w:ascii="Arial" w:hAnsi="Arial" w:cs="Arial"/>
          <w:b/>
          <w:bCs/>
          <w:sz w:val="20"/>
          <w:szCs w:val="20"/>
        </w:rPr>
        <w:t>ing can be used to modify or release the (C</w:t>
      </w:r>
      <w:proofErr w:type="gramStart"/>
      <w:r w:rsidRPr="001C6E79">
        <w:rPr>
          <w:rFonts w:ascii="Arial" w:hAnsi="Arial" w:cs="Arial"/>
          <w:b/>
          <w:bCs/>
          <w:sz w:val="20"/>
          <w:szCs w:val="20"/>
        </w:rPr>
        <w:t>)HO</w:t>
      </w:r>
      <w:proofErr w:type="gramEnd"/>
      <w:r w:rsidRPr="001C6E79">
        <w:rPr>
          <w:rFonts w:ascii="Arial" w:hAnsi="Arial" w:cs="Arial"/>
          <w:b/>
          <w:bCs/>
          <w:sz w:val="20"/>
          <w:szCs w:val="20"/>
        </w:rPr>
        <w:t xml:space="preserve"> configuration provided in system information.</w:t>
      </w:r>
    </w:p>
    <w:p w14:paraId="2D3BFAC6" w14:textId="0F839B4E" w:rsidR="002D11E4" w:rsidRDefault="0082499F">
      <w:pPr>
        <w:rPr>
          <w:rFonts w:ascii="Arial" w:hAnsi="Arial" w:cs="Arial"/>
          <w:bCs/>
          <w:kern w:val="0"/>
          <w:sz w:val="20"/>
          <w:szCs w:val="20"/>
          <w:u w:val="single"/>
        </w:rPr>
      </w:pPr>
      <w:r w:rsidRPr="0082499F">
        <w:rPr>
          <w:rFonts w:ascii="Arial" w:hAnsi="Arial" w:cs="Arial"/>
          <w:bCs/>
          <w:kern w:val="0"/>
          <w:sz w:val="20"/>
          <w:szCs w:val="20"/>
          <w:u w:val="single"/>
        </w:rPr>
        <w:t>Index based HO command</w:t>
      </w:r>
    </w:p>
    <w:p w14:paraId="110D09C0" w14:textId="095EAA87" w:rsidR="0082499F" w:rsidRDefault="0082499F" w:rsidP="0082499F">
      <w:pPr>
        <w:jc w:val="left"/>
        <w:rPr>
          <w:rFonts w:ascii="Arial" w:hAnsi="Arial" w:cs="Arial"/>
          <w:b/>
          <w:sz w:val="20"/>
          <w:szCs w:val="20"/>
        </w:rPr>
      </w:pPr>
      <w:r w:rsidRPr="00FD5DAF">
        <w:rPr>
          <w:rFonts w:ascii="Arial" w:hAnsi="Arial" w:cs="Arial"/>
          <w:b/>
          <w:sz w:val="20"/>
          <w:szCs w:val="20"/>
        </w:rPr>
        <w:t xml:space="preserve">Proposal </w:t>
      </w:r>
      <w:r>
        <w:rPr>
          <w:rFonts w:ascii="Arial" w:hAnsi="Arial" w:cs="Arial"/>
          <w:b/>
          <w:sz w:val="20"/>
          <w:szCs w:val="20"/>
        </w:rPr>
        <w:t>3</w:t>
      </w:r>
      <w:r w:rsidRPr="00FD5DAF">
        <w:rPr>
          <w:rFonts w:ascii="Arial" w:hAnsi="Arial" w:cs="Arial"/>
          <w:b/>
          <w:sz w:val="20"/>
          <w:szCs w:val="20"/>
        </w:rPr>
        <w:t xml:space="preserve">: The CHO candidate target cell identity or index can be included in the HO command to trigger conventional handover to this cell thus the detailed configuration would be omitted and UE should apply the </w:t>
      </w:r>
      <w:proofErr w:type="spellStart"/>
      <w:r w:rsidRPr="00FD5DAF">
        <w:rPr>
          <w:rFonts w:ascii="Arial" w:hAnsi="Arial" w:cs="Arial"/>
          <w:b/>
          <w:i/>
          <w:sz w:val="20"/>
          <w:szCs w:val="20"/>
        </w:rPr>
        <w:t>condRRCReconfig</w:t>
      </w:r>
      <w:proofErr w:type="spellEnd"/>
      <w:r w:rsidRPr="00FD5DAF">
        <w:rPr>
          <w:rFonts w:ascii="Arial" w:hAnsi="Arial" w:cs="Arial"/>
          <w:b/>
          <w:sz w:val="20"/>
          <w:szCs w:val="20"/>
        </w:rPr>
        <w:t xml:space="preserve"> stored for this cell.</w:t>
      </w:r>
    </w:p>
    <w:p w14:paraId="5C7DF117" w14:textId="77777777" w:rsidR="0082499F" w:rsidRDefault="0082499F" w:rsidP="0082499F">
      <w:pPr>
        <w:rPr>
          <w:rFonts w:ascii="Arial" w:hAnsi="Arial" w:cs="Arial"/>
          <w:bCs/>
          <w:kern w:val="0"/>
          <w:sz w:val="20"/>
          <w:szCs w:val="20"/>
          <w:u w:val="single"/>
        </w:rPr>
      </w:pPr>
      <w:r w:rsidRPr="0082499F">
        <w:rPr>
          <w:rFonts w:ascii="Arial" w:hAnsi="Arial" w:cs="Arial"/>
          <w:bCs/>
          <w:kern w:val="0"/>
          <w:sz w:val="20"/>
          <w:szCs w:val="20"/>
          <w:u w:val="single"/>
        </w:rPr>
        <w:t>PCI unchanged scenario</w:t>
      </w:r>
    </w:p>
    <w:p w14:paraId="1E09C947" w14:textId="49CD38FF" w:rsidR="00967279" w:rsidRPr="00814F79" w:rsidRDefault="00967279" w:rsidP="00967279">
      <w:pPr>
        <w:rPr>
          <w:rFonts w:ascii="Arial" w:hAnsi="Arial" w:cs="Arial"/>
          <w:b/>
          <w:bCs/>
          <w:sz w:val="20"/>
          <w:szCs w:val="20"/>
        </w:rPr>
      </w:pPr>
      <w:r w:rsidRPr="00814F79">
        <w:rPr>
          <w:rFonts w:ascii="Arial" w:hAnsi="Arial" w:cs="Arial"/>
          <w:b/>
          <w:bCs/>
          <w:sz w:val="20"/>
          <w:szCs w:val="20"/>
        </w:rPr>
        <w:t xml:space="preserve">Proposal </w:t>
      </w:r>
      <w:r>
        <w:rPr>
          <w:rFonts w:ascii="Arial" w:hAnsi="Arial" w:cs="Arial"/>
          <w:b/>
          <w:bCs/>
          <w:sz w:val="20"/>
          <w:szCs w:val="20"/>
        </w:rPr>
        <w:t>4</w:t>
      </w:r>
      <w:r w:rsidRPr="00814F79">
        <w:rPr>
          <w:rFonts w:ascii="Arial" w:hAnsi="Arial" w:cs="Arial"/>
          <w:b/>
          <w:bCs/>
          <w:sz w:val="20"/>
          <w:szCs w:val="20"/>
        </w:rPr>
        <w:t xml:space="preserve">: In NTN, a new </w:t>
      </w:r>
      <w:r>
        <w:rPr>
          <w:rFonts w:ascii="Arial" w:hAnsi="Arial" w:cs="Arial"/>
          <w:b/>
          <w:bCs/>
          <w:sz w:val="20"/>
          <w:szCs w:val="20"/>
        </w:rPr>
        <w:t>IE</w:t>
      </w:r>
      <w:r w:rsidRPr="00814F79">
        <w:rPr>
          <w:rFonts w:ascii="Arial" w:hAnsi="Arial" w:cs="Arial"/>
          <w:b/>
          <w:bCs/>
          <w:sz w:val="20"/>
          <w:szCs w:val="20"/>
        </w:rPr>
        <w:t xml:space="preserve"> is introdu</w:t>
      </w:r>
      <w:r>
        <w:rPr>
          <w:rFonts w:ascii="Arial" w:hAnsi="Arial" w:cs="Arial"/>
          <w:b/>
          <w:bCs/>
          <w:sz w:val="20"/>
          <w:szCs w:val="20"/>
        </w:rPr>
        <w:t>ced in system information (e.g.</w:t>
      </w:r>
      <w:r w:rsidRPr="00814F79">
        <w:rPr>
          <w:rFonts w:ascii="Arial" w:hAnsi="Arial" w:cs="Arial"/>
          <w:b/>
          <w:bCs/>
          <w:sz w:val="20"/>
          <w:szCs w:val="20"/>
        </w:rPr>
        <w:t>SIB19) to indicate the time when UE nee</w:t>
      </w:r>
      <w:r>
        <w:rPr>
          <w:rFonts w:ascii="Arial" w:hAnsi="Arial" w:cs="Arial"/>
          <w:b/>
          <w:bCs/>
          <w:sz w:val="20"/>
          <w:szCs w:val="20"/>
        </w:rPr>
        <w:t>ds to start switching to the up</w:t>
      </w:r>
      <w:r w:rsidRPr="00814F79">
        <w:rPr>
          <w:rFonts w:ascii="Arial" w:hAnsi="Arial" w:cs="Arial"/>
          <w:b/>
          <w:bCs/>
          <w:sz w:val="20"/>
          <w:szCs w:val="20"/>
        </w:rPr>
        <w:t xml:space="preserve">coming satellite, where the presence of this IE is </w:t>
      </w:r>
      <w:r>
        <w:rPr>
          <w:rFonts w:ascii="Arial" w:hAnsi="Arial" w:cs="Arial"/>
          <w:b/>
          <w:bCs/>
          <w:sz w:val="20"/>
          <w:szCs w:val="20"/>
        </w:rPr>
        <w:t xml:space="preserve">also </w:t>
      </w:r>
      <w:r w:rsidRPr="00814F79">
        <w:rPr>
          <w:rFonts w:ascii="Arial" w:hAnsi="Arial" w:cs="Arial"/>
          <w:b/>
          <w:bCs/>
          <w:sz w:val="20"/>
          <w:szCs w:val="20"/>
        </w:rPr>
        <w:t>used as implicit indication that the same PCI is used after the satellite switch.</w:t>
      </w:r>
    </w:p>
    <w:p w14:paraId="718A8256" w14:textId="77777777" w:rsidR="00967279" w:rsidRDefault="00967279" w:rsidP="00967279">
      <w:pPr>
        <w:rPr>
          <w:rFonts w:ascii="Arial" w:hAnsi="Arial" w:cs="Arial"/>
          <w:b/>
          <w:bCs/>
          <w:sz w:val="20"/>
          <w:szCs w:val="20"/>
        </w:rPr>
      </w:pPr>
      <w:r w:rsidRPr="00814F79">
        <w:rPr>
          <w:rFonts w:ascii="Arial" w:hAnsi="Arial" w:cs="Arial"/>
          <w:b/>
          <w:bCs/>
          <w:sz w:val="20"/>
          <w:szCs w:val="20"/>
        </w:rPr>
        <w:t xml:space="preserve">Proposal </w:t>
      </w:r>
      <w:r>
        <w:rPr>
          <w:rFonts w:ascii="Arial" w:hAnsi="Arial" w:cs="Arial"/>
          <w:b/>
          <w:bCs/>
          <w:sz w:val="20"/>
          <w:szCs w:val="20"/>
        </w:rPr>
        <w:t>5</w:t>
      </w:r>
      <w:r w:rsidRPr="00814F79">
        <w:rPr>
          <w:rFonts w:ascii="Arial" w:hAnsi="Arial" w:cs="Arial"/>
          <w:b/>
          <w:bCs/>
          <w:sz w:val="20"/>
          <w:szCs w:val="20"/>
        </w:rPr>
        <w:t>: If provided with the new IE as discussed in P5 (the IE indicate the time when UE nee</w:t>
      </w:r>
      <w:r>
        <w:rPr>
          <w:rFonts w:ascii="Arial" w:hAnsi="Arial" w:cs="Arial"/>
          <w:b/>
          <w:bCs/>
          <w:sz w:val="20"/>
          <w:szCs w:val="20"/>
        </w:rPr>
        <w:t>ds to start switching to the up</w:t>
      </w:r>
      <w:r w:rsidRPr="00814F79">
        <w:rPr>
          <w:rFonts w:ascii="Arial" w:hAnsi="Arial" w:cs="Arial"/>
          <w:b/>
          <w:bCs/>
          <w:sz w:val="20"/>
          <w:szCs w:val="20"/>
        </w:rPr>
        <w:t xml:space="preserve">coming satellite), UE consider </w:t>
      </w:r>
      <w:proofErr w:type="spellStart"/>
      <w:r w:rsidRPr="00814F79">
        <w:rPr>
          <w:rFonts w:ascii="Arial" w:hAnsi="Arial" w:cs="Arial"/>
          <w:b/>
          <w:bCs/>
          <w:sz w:val="20"/>
          <w:szCs w:val="20"/>
        </w:rPr>
        <w:t>TimeAlignmentTimer</w:t>
      </w:r>
      <w:proofErr w:type="spellEnd"/>
      <w:r w:rsidRPr="00814F79">
        <w:rPr>
          <w:rFonts w:ascii="Arial" w:hAnsi="Arial" w:cs="Arial"/>
          <w:b/>
          <w:bCs/>
          <w:sz w:val="20"/>
          <w:szCs w:val="20"/>
        </w:rPr>
        <w:t xml:space="preserve"> timer and T430 as expired at the time i</w:t>
      </w:r>
      <w:r>
        <w:rPr>
          <w:rFonts w:ascii="Arial" w:hAnsi="Arial" w:cs="Arial"/>
          <w:b/>
          <w:bCs/>
          <w:sz w:val="20"/>
          <w:szCs w:val="20"/>
        </w:rPr>
        <w:t>ndicated by the new IE received and perform the following actions:</w:t>
      </w:r>
    </w:p>
    <w:p w14:paraId="69B7180C" w14:textId="77777777" w:rsidR="00967279" w:rsidRPr="00814F79" w:rsidRDefault="00967279" w:rsidP="00967279">
      <w:pPr>
        <w:numPr>
          <w:ilvl w:val="0"/>
          <w:numId w:val="23"/>
        </w:numPr>
        <w:spacing w:line="240" w:lineRule="auto"/>
        <w:rPr>
          <w:rFonts w:ascii="Arial" w:hAnsi="Arial" w:cs="Arial"/>
          <w:b/>
          <w:bCs/>
          <w:sz w:val="20"/>
          <w:szCs w:val="20"/>
        </w:rPr>
      </w:pPr>
      <w:r w:rsidRPr="00814F79">
        <w:rPr>
          <w:rFonts w:ascii="Arial" w:hAnsi="Arial" w:cs="Arial"/>
          <w:b/>
          <w:bCs/>
          <w:sz w:val="20"/>
          <w:szCs w:val="20"/>
        </w:rPr>
        <w:t>Flush HARQ buffer and stop uplink transmissions if any until regain uplink synchronization to target</w:t>
      </w:r>
    </w:p>
    <w:p w14:paraId="30227979" w14:textId="77777777" w:rsidR="00967279" w:rsidRPr="00814F79" w:rsidRDefault="00967279" w:rsidP="00967279">
      <w:pPr>
        <w:numPr>
          <w:ilvl w:val="0"/>
          <w:numId w:val="23"/>
        </w:numPr>
        <w:spacing w:line="240" w:lineRule="auto"/>
        <w:rPr>
          <w:rFonts w:ascii="Arial" w:hAnsi="Arial" w:cs="Arial"/>
          <w:b/>
          <w:bCs/>
          <w:sz w:val="20"/>
          <w:szCs w:val="20"/>
        </w:rPr>
      </w:pPr>
      <w:r w:rsidRPr="00814F79">
        <w:rPr>
          <w:rFonts w:ascii="Arial" w:hAnsi="Arial" w:cs="Arial"/>
          <w:b/>
          <w:bCs/>
          <w:sz w:val="20"/>
          <w:szCs w:val="20"/>
        </w:rPr>
        <w:t>Reacquire SIB19 from target satellite to obtain necessary assisting information for synchronization</w:t>
      </w:r>
    </w:p>
    <w:p w14:paraId="0FC0A7C1" w14:textId="669D8499" w:rsidR="0082499F" w:rsidRPr="00967279" w:rsidRDefault="00967279" w:rsidP="00967279">
      <w:pPr>
        <w:numPr>
          <w:ilvl w:val="0"/>
          <w:numId w:val="23"/>
        </w:numPr>
        <w:spacing w:line="240" w:lineRule="auto"/>
        <w:rPr>
          <w:rFonts w:ascii="Arial" w:hAnsi="Arial" w:cs="Arial"/>
          <w:b/>
          <w:bCs/>
          <w:sz w:val="20"/>
          <w:szCs w:val="20"/>
        </w:rPr>
      </w:pPr>
      <w:r w:rsidRPr="00814F79">
        <w:rPr>
          <w:rFonts w:ascii="Arial" w:hAnsi="Arial" w:cs="Arial"/>
          <w:b/>
          <w:bCs/>
          <w:sz w:val="20"/>
          <w:szCs w:val="20"/>
        </w:rPr>
        <w:t>Initiate RACH to fine-tuning TA, which is needed only when there is any UL data arriving or can be trigger by PDCCH order in case DL data arrival</w:t>
      </w:r>
    </w:p>
    <w:p w14:paraId="15118F68"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14:paraId="3EFB8B1C" w14:textId="33998203" w:rsidR="009238E4" w:rsidRDefault="002A268C">
      <w:pPr>
        <w:rPr>
          <w:rFonts w:ascii="Arial" w:hAnsi="Arial" w:cs="Arial"/>
          <w:bCs/>
          <w:kern w:val="0"/>
          <w:sz w:val="20"/>
          <w:szCs w:val="20"/>
        </w:rPr>
      </w:pPr>
      <w:r>
        <w:rPr>
          <w:rFonts w:ascii="Arial" w:hAnsi="Arial" w:cs="Arial"/>
          <w:bCs/>
          <w:kern w:val="0"/>
          <w:sz w:val="20"/>
          <w:szCs w:val="20"/>
        </w:rPr>
        <w:t>[1</w:t>
      </w:r>
      <w:r w:rsidR="005A70F7">
        <w:rPr>
          <w:rFonts w:ascii="Arial" w:hAnsi="Arial" w:cs="Arial"/>
          <w:bCs/>
          <w:kern w:val="0"/>
          <w:sz w:val="20"/>
          <w:szCs w:val="20"/>
        </w:rPr>
        <w:t xml:space="preserve">] </w:t>
      </w:r>
      <w:r w:rsidR="005A70F7" w:rsidRPr="005A70F7">
        <w:rPr>
          <w:rFonts w:ascii="Arial" w:hAnsi="Arial" w:cs="Arial"/>
          <w:bCs/>
          <w:kern w:val="0"/>
          <w:sz w:val="20"/>
          <w:szCs w:val="20"/>
        </w:rPr>
        <w:t>Draft</w:t>
      </w:r>
      <w:r w:rsidR="005A70F7">
        <w:rPr>
          <w:rFonts w:ascii="Arial" w:hAnsi="Arial" w:cs="Arial"/>
          <w:bCs/>
          <w:kern w:val="0"/>
          <w:sz w:val="20"/>
          <w:szCs w:val="20"/>
        </w:rPr>
        <w:t>_R2_121bis_meeting_report_v2</w:t>
      </w:r>
    </w:p>
    <w:p w14:paraId="5AFCCAA6" w14:textId="5A5B12F5" w:rsidR="00391938" w:rsidRDefault="00391938">
      <w:pPr>
        <w:rPr>
          <w:rFonts w:ascii="Arial" w:hAnsi="Arial" w:cs="Arial"/>
          <w:bCs/>
          <w:kern w:val="0"/>
          <w:sz w:val="20"/>
          <w:szCs w:val="20"/>
        </w:rPr>
      </w:pPr>
      <w:r>
        <w:rPr>
          <w:rFonts w:ascii="Arial" w:hAnsi="Arial" w:cs="Arial"/>
          <w:bCs/>
          <w:kern w:val="0"/>
          <w:sz w:val="20"/>
          <w:szCs w:val="20"/>
        </w:rPr>
        <w:t xml:space="preserve">[2] </w:t>
      </w:r>
      <w:r w:rsidR="00896148">
        <w:rPr>
          <w:rFonts w:ascii="Arial" w:hAnsi="Arial" w:cs="Arial"/>
          <w:bCs/>
          <w:kern w:val="0"/>
          <w:sz w:val="20"/>
          <w:szCs w:val="20"/>
        </w:rPr>
        <w:t xml:space="preserve">R2-2304273 </w:t>
      </w:r>
      <w:r w:rsidR="00896148" w:rsidRPr="00896148">
        <w:rPr>
          <w:rFonts w:ascii="Arial" w:hAnsi="Arial" w:cs="Arial"/>
          <w:bCs/>
          <w:kern w:val="0"/>
          <w:sz w:val="20"/>
          <w:szCs w:val="20"/>
        </w:rPr>
        <w:t>LS on unchanged PCI</w:t>
      </w:r>
      <w:r w:rsidR="00896148">
        <w:rPr>
          <w:rFonts w:ascii="Arial" w:hAnsi="Arial" w:cs="Arial"/>
          <w:bCs/>
          <w:kern w:val="0"/>
          <w:sz w:val="20"/>
          <w:szCs w:val="20"/>
        </w:rPr>
        <w:t xml:space="preserve"> (Contact: CATT) To: RAN1</w:t>
      </w:r>
    </w:p>
    <w:p w14:paraId="231D8728" w14:textId="77777777" w:rsidR="002A268C" w:rsidRDefault="002A268C">
      <w:pPr>
        <w:rPr>
          <w:rFonts w:ascii="Arial" w:hAnsi="Arial" w:cs="Arial"/>
          <w:bCs/>
          <w:kern w:val="0"/>
          <w:sz w:val="20"/>
          <w:szCs w:val="20"/>
        </w:rPr>
      </w:pPr>
    </w:p>
    <w:p w14:paraId="69DF9488" w14:textId="0C137085" w:rsidR="002A268C" w:rsidRDefault="002A268C">
      <w:pPr>
        <w:rPr>
          <w:rFonts w:ascii="Arial" w:hAnsi="Arial" w:cs="Arial"/>
          <w:bCs/>
          <w:kern w:val="0"/>
          <w:sz w:val="20"/>
          <w:szCs w:val="20"/>
        </w:rPr>
      </w:pPr>
    </w:p>
    <w:sectPr w:rsidR="002A268C" w:rsidSect="00C2224E">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4CD82" w14:textId="77777777" w:rsidR="00A67142" w:rsidRDefault="00A67142">
      <w:pPr>
        <w:spacing w:after="0" w:line="240" w:lineRule="auto"/>
      </w:pPr>
      <w:r>
        <w:separator/>
      </w:r>
    </w:p>
  </w:endnote>
  <w:endnote w:type="continuationSeparator" w:id="0">
    <w:p w14:paraId="201E5919" w14:textId="77777777" w:rsidR="00A67142" w:rsidRDefault="00A67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B6718" w14:textId="77777777" w:rsidR="0096604C" w:rsidRDefault="003D288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445EEA25" w14:textId="77777777" w:rsidR="0096604C" w:rsidRDefault="0096604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440A6" w14:textId="77777777" w:rsidR="0096604C" w:rsidRDefault="0096604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099CA" w14:textId="77777777" w:rsidR="00A67142" w:rsidRDefault="00A67142">
      <w:pPr>
        <w:spacing w:after="0" w:line="240" w:lineRule="auto"/>
      </w:pPr>
      <w:r>
        <w:separator/>
      </w:r>
    </w:p>
  </w:footnote>
  <w:footnote w:type="continuationSeparator" w:id="0">
    <w:p w14:paraId="34EF6625" w14:textId="77777777" w:rsidR="00A67142" w:rsidRDefault="00A671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7EB69" w14:textId="77777777" w:rsidR="0096604C" w:rsidRDefault="0096604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9D3FE3"/>
    <w:multiLevelType w:val="singleLevel"/>
    <w:tmpl w:val="9D9D3FE3"/>
    <w:lvl w:ilvl="0">
      <w:start w:val="1"/>
      <w:numFmt w:val="bullet"/>
      <w:lvlText w:val=""/>
      <w:lvlJc w:val="left"/>
      <w:pPr>
        <w:ind w:left="420" w:hanging="420"/>
      </w:pPr>
      <w:rPr>
        <w:rFonts w:ascii="Wingdings" w:hAnsi="Wingdings" w:hint="default"/>
      </w:rPr>
    </w:lvl>
  </w:abstractNum>
  <w:abstractNum w:abstractNumId="1" w15:restartNumberingAfterBreak="0">
    <w:nsid w:val="D44FA970"/>
    <w:multiLevelType w:val="singleLevel"/>
    <w:tmpl w:val="D44FA970"/>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415E1C"/>
    <w:multiLevelType w:val="hybridMultilevel"/>
    <w:tmpl w:val="3E06C5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A465F"/>
    <w:multiLevelType w:val="hybridMultilevel"/>
    <w:tmpl w:val="FEBAB832"/>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482C9C"/>
    <w:multiLevelType w:val="singleLevel"/>
    <w:tmpl w:val="16482C9C"/>
    <w:lvl w:ilvl="0">
      <w:start w:val="1"/>
      <w:numFmt w:val="bullet"/>
      <w:lvlText w:val=""/>
      <w:lvlJc w:val="left"/>
      <w:pPr>
        <w:ind w:left="420" w:hanging="420"/>
      </w:pPr>
      <w:rPr>
        <w:rFonts w:ascii="Wingdings" w:hAnsi="Wingdings" w:hint="default"/>
      </w:rPr>
    </w:lvl>
  </w:abstractNum>
  <w:abstractNum w:abstractNumId="7" w15:restartNumberingAfterBreak="0">
    <w:nsid w:val="1D0F0444"/>
    <w:multiLevelType w:val="multilevel"/>
    <w:tmpl w:val="1D0F04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775640"/>
    <w:multiLevelType w:val="hybridMultilevel"/>
    <w:tmpl w:val="354E7E5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F58D6"/>
    <w:multiLevelType w:val="hybridMultilevel"/>
    <w:tmpl w:val="9FA63A2C"/>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8C80CA5"/>
    <w:multiLevelType w:val="multilevel"/>
    <w:tmpl w:val="38C80C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B451875"/>
    <w:multiLevelType w:val="hybridMultilevel"/>
    <w:tmpl w:val="D4429D26"/>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6465F"/>
    <w:multiLevelType w:val="hybridMultilevel"/>
    <w:tmpl w:val="E814C5C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745B21"/>
    <w:multiLevelType w:val="hybridMultilevel"/>
    <w:tmpl w:val="A986076E"/>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57F7F"/>
    <w:multiLevelType w:val="multilevel"/>
    <w:tmpl w:val="4C157F7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C5A6E31"/>
    <w:multiLevelType w:val="hybridMultilevel"/>
    <w:tmpl w:val="143E0DB0"/>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12350FA"/>
    <w:multiLevelType w:val="hybridMultilevel"/>
    <w:tmpl w:val="7F627AE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6C61562"/>
    <w:multiLevelType w:val="hybridMultilevel"/>
    <w:tmpl w:val="271CA336"/>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87C2D"/>
    <w:multiLevelType w:val="multilevel"/>
    <w:tmpl w:val="2566FD16"/>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E062E3F"/>
    <w:multiLevelType w:val="hybridMultilevel"/>
    <w:tmpl w:val="C1C40CA4"/>
    <w:lvl w:ilvl="0" w:tplc="2BD62950">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7F1B8C"/>
    <w:multiLevelType w:val="multilevel"/>
    <w:tmpl w:val="6F7F1B8C"/>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BB08D1"/>
    <w:multiLevelType w:val="multilevel"/>
    <w:tmpl w:val="7BBB08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D894096"/>
    <w:multiLevelType w:val="multilevel"/>
    <w:tmpl w:val="7D8940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6"/>
  </w:num>
  <w:num w:numId="3">
    <w:abstractNumId w:val="3"/>
  </w:num>
  <w:num w:numId="4">
    <w:abstractNumId w:val="21"/>
  </w:num>
  <w:num w:numId="5">
    <w:abstractNumId w:val="15"/>
  </w:num>
  <w:num w:numId="6">
    <w:abstractNumId w:val="5"/>
  </w:num>
  <w:num w:numId="7">
    <w:abstractNumId w:val="7"/>
  </w:num>
  <w:num w:numId="8">
    <w:abstractNumId w:val="22"/>
  </w:num>
  <w:num w:numId="9">
    <w:abstractNumId w:val="0"/>
  </w:num>
  <w:num w:numId="10">
    <w:abstractNumId w:val="10"/>
  </w:num>
  <w:num w:numId="11">
    <w:abstractNumId w:val="14"/>
  </w:num>
  <w:num w:numId="12">
    <w:abstractNumId w:val="23"/>
  </w:num>
  <w:num w:numId="13">
    <w:abstractNumId w:val="20"/>
  </w:num>
  <w:num w:numId="14">
    <w:abstractNumId w:val="19"/>
  </w:num>
  <w:num w:numId="15">
    <w:abstractNumId w:val="9"/>
  </w:num>
  <w:num w:numId="16">
    <w:abstractNumId w:val="12"/>
  </w:num>
  <w:num w:numId="17">
    <w:abstractNumId w:val="17"/>
  </w:num>
  <w:num w:numId="18">
    <w:abstractNumId w:val="11"/>
  </w:num>
  <w:num w:numId="19">
    <w:abstractNumId w:val="4"/>
  </w:num>
  <w:num w:numId="20">
    <w:abstractNumId w:val="6"/>
  </w:num>
  <w:num w:numId="21">
    <w:abstractNumId w:val="1"/>
  </w:num>
  <w:num w:numId="22">
    <w:abstractNumId w:val="8"/>
  </w:num>
  <w:num w:numId="23">
    <w:abstractNumId w:val="1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9D0"/>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4DBD"/>
    <w:rsid w:val="00066C0A"/>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B83"/>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204F"/>
    <w:rsid w:val="000A22DF"/>
    <w:rsid w:val="000A2A28"/>
    <w:rsid w:val="000A2D0A"/>
    <w:rsid w:val="000A3118"/>
    <w:rsid w:val="000A3136"/>
    <w:rsid w:val="000A3A4E"/>
    <w:rsid w:val="000A3E33"/>
    <w:rsid w:val="000A45FF"/>
    <w:rsid w:val="000A53F5"/>
    <w:rsid w:val="000A5A31"/>
    <w:rsid w:val="000A636B"/>
    <w:rsid w:val="000A6CCF"/>
    <w:rsid w:val="000A754E"/>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1BF"/>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8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2FCE"/>
    <w:rsid w:val="001A384E"/>
    <w:rsid w:val="001A4015"/>
    <w:rsid w:val="001A5BC7"/>
    <w:rsid w:val="001A6023"/>
    <w:rsid w:val="001A6AFD"/>
    <w:rsid w:val="001A6B45"/>
    <w:rsid w:val="001A6B66"/>
    <w:rsid w:val="001B000D"/>
    <w:rsid w:val="001B16FF"/>
    <w:rsid w:val="001B21A1"/>
    <w:rsid w:val="001B287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E79"/>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1797"/>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3741"/>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D20"/>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2C34"/>
    <w:rsid w:val="002638B3"/>
    <w:rsid w:val="0026397F"/>
    <w:rsid w:val="00263B1C"/>
    <w:rsid w:val="002655D4"/>
    <w:rsid w:val="00266CB2"/>
    <w:rsid w:val="00267D0B"/>
    <w:rsid w:val="00270994"/>
    <w:rsid w:val="00270A1C"/>
    <w:rsid w:val="00270AB1"/>
    <w:rsid w:val="00270C0D"/>
    <w:rsid w:val="002714DF"/>
    <w:rsid w:val="002716E8"/>
    <w:rsid w:val="00271948"/>
    <w:rsid w:val="00271A01"/>
    <w:rsid w:val="00271ED8"/>
    <w:rsid w:val="002724B9"/>
    <w:rsid w:val="002727F4"/>
    <w:rsid w:val="002730ED"/>
    <w:rsid w:val="0027675D"/>
    <w:rsid w:val="00276768"/>
    <w:rsid w:val="0027683F"/>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268C"/>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1158"/>
    <w:rsid w:val="002C3FF4"/>
    <w:rsid w:val="002C4649"/>
    <w:rsid w:val="002C52F5"/>
    <w:rsid w:val="002C5A22"/>
    <w:rsid w:val="002C5AEF"/>
    <w:rsid w:val="002C6291"/>
    <w:rsid w:val="002D00AA"/>
    <w:rsid w:val="002D037B"/>
    <w:rsid w:val="002D044D"/>
    <w:rsid w:val="002D0F0A"/>
    <w:rsid w:val="002D11E4"/>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27FA"/>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942"/>
    <w:rsid w:val="00356D6E"/>
    <w:rsid w:val="003577BE"/>
    <w:rsid w:val="00360961"/>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938"/>
    <w:rsid w:val="00391CDB"/>
    <w:rsid w:val="00391E5D"/>
    <w:rsid w:val="00391F87"/>
    <w:rsid w:val="003927FF"/>
    <w:rsid w:val="00393338"/>
    <w:rsid w:val="003937EC"/>
    <w:rsid w:val="00394558"/>
    <w:rsid w:val="00394FC5"/>
    <w:rsid w:val="00395560"/>
    <w:rsid w:val="00396952"/>
    <w:rsid w:val="00396C58"/>
    <w:rsid w:val="00397880"/>
    <w:rsid w:val="00397B39"/>
    <w:rsid w:val="00397C52"/>
    <w:rsid w:val="003A00AC"/>
    <w:rsid w:val="003A150D"/>
    <w:rsid w:val="003A2A06"/>
    <w:rsid w:val="003A2BBA"/>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3FF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C79C6"/>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0898"/>
    <w:rsid w:val="003F0CCA"/>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7BF"/>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AFB"/>
    <w:rsid w:val="00445E13"/>
    <w:rsid w:val="00446A9B"/>
    <w:rsid w:val="00446D82"/>
    <w:rsid w:val="00447A9C"/>
    <w:rsid w:val="004505FC"/>
    <w:rsid w:val="00453750"/>
    <w:rsid w:val="004540CD"/>
    <w:rsid w:val="00454D5C"/>
    <w:rsid w:val="00455E5C"/>
    <w:rsid w:val="00456274"/>
    <w:rsid w:val="00456668"/>
    <w:rsid w:val="0046088D"/>
    <w:rsid w:val="00460FF4"/>
    <w:rsid w:val="004616A0"/>
    <w:rsid w:val="00462F02"/>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F95"/>
    <w:rsid w:val="004904C9"/>
    <w:rsid w:val="0049107E"/>
    <w:rsid w:val="00491278"/>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2A7C"/>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6F00"/>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1FE4"/>
    <w:rsid w:val="00562405"/>
    <w:rsid w:val="00562AF2"/>
    <w:rsid w:val="00563B6D"/>
    <w:rsid w:val="00565744"/>
    <w:rsid w:val="005657FC"/>
    <w:rsid w:val="00567054"/>
    <w:rsid w:val="005672C5"/>
    <w:rsid w:val="00567A4F"/>
    <w:rsid w:val="00567A9A"/>
    <w:rsid w:val="00567AEE"/>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3B53"/>
    <w:rsid w:val="005A53DF"/>
    <w:rsid w:val="005A60EB"/>
    <w:rsid w:val="005A6185"/>
    <w:rsid w:val="005A70F7"/>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D7B0C"/>
    <w:rsid w:val="005E06D3"/>
    <w:rsid w:val="005E17B3"/>
    <w:rsid w:val="005E27C0"/>
    <w:rsid w:val="005E2BED"/>
    <w:rsid w:val="005E4B6D"/>
    <w:rsid w:val="005E4F1C"/>
    <w:rsid w:val="005E5423"/>
    <w:rsid w:val="005E5466"/>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203"/>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4BA3"/>
    <w:rsid w:val="00626CB7"/>
    <w:rsid w:val="00626F9F"/>
    <w:rsid w:val="00627ACD"/>
    <w:rsid w:val="00630383"/>
    <w:rsid w:val="006308BC"/>
    <w:rsid w:val="00630B29"/>
    <w:rsid w:val="00633DA7"/>
    <w:rsid w:val="00635291"/>
    <w:rsid w:val="006354B6"/>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414"/>
    <w:rsid w:val="00651856"/>
    <w:rsid w:val="006521E7"/>
    <w:rsid w:val="00652C4B"/>
    <w:rsid w:val="00653607"/>
    <w:rsid w:val="00653FD4"/>
    <w:rsid w:val="006543CA"/>
    <w:rsid w:val="00654BDF"/>
    <w:rsid w:val="00655724"/>
    <w:rsid w:val="0065579F"/>
    <w:rsid w:val="006569D2"/>
    <w:rsid w:val="00656F8E"/>
    <w:rsid w:val="00660910"/>
    <w:rsid w:val="00661810"/>
    <w:rsid w:val="006631E5"/>
    <w:rsid w:val="006633CB"/>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2F6"/>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6D3F"/>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5B"/>
    <w:rsid w:val="00731D62"/>
    <w:rsid w:val="00731E30"/>
    <w:rsid w:val="00731EBF"/>
    <w:rsid w:val="00731EFE"/>
    <w:rsid w:val="00733162"/>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3A62"/>
    <w:rsid w:val="00754061"/>
    <w:rsid w:val="007541E9"/>
    <w:rsid w:val="00755A34"/>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3FBD"/>
    <w:rsid w:val="00774631"/>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0C8"/>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A0F"/>
    <w:rsid w:val="0079563E"/>
    <w:rsid w:val="00795931"/>
    <w:rsid w:val="00796A2A"/>
    <w:rsid w:val="00796F1A"/>
    <w:rsid w:val="007970D5"/>
    <w:rsid w:val="0079717C"/>
    <w:rsid w:val="007971D6"/>
    <w:rsid w:val="007975CB"/>
    <w:rsid w:val="007A0277"/>
    <w:rsid w:val="007A053E"/>
    <w:rsid w:val="007A2A69"/>
    <w:rsid w:val="007A3A59"/>
    <w:rsid w:val="007A3AD3"/>
    <w:rsid w:val="007A5354"/>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42B9"/>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4F79"/>
    <w:rsid w:val="008160BF"/>
    <w:rsid w:val="00816F96"/>
    <w:rsid w:val="008170EC"/>
    <w:rsid w:val="008175D4"/>
    <w:rsid w:val="00822C2C"/>
    <w:rsid w:val="00823033"/>
    <w:rsid w:val="00823AF8"/>
    <w:rsid w:val="0082499F"/>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6CA"/>
    <w:rsid w:val="00836D5A"/>
    <w:rsid w:val="0083795A"/>
    <w:rsid w:val="00837C2E"/>
    <w:rsid w:val="00837C6B"/>
    <w:rsid w:val="00837C9F"/>
    <w:rsid w:val="00842AA3"/>
    <w:rsid w:val="00843379"/>
    <w:rsid w:val="008436F0"/>
    <w:rsid w:val="00843DAA"/>
    <w:rsid w:val="00843F40"/>
    <w:rsid w:val="00845DB8"/>
    <w:rsid w:val="00845E4F"/>
    <w:rsid w:val="00846BE0"/>
    <w:rsid w:val="008505B6"/>
    <w:rsid w:val="00850829"/>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2C4A"/>
    <w:rsid w:val="008937A3"/>
    <w:rsid w:val="00893C8B"/>
    <w:rsid w:val="00893F28"/>
    <w:rsid w:val="008941D9"/>
    <w:rsid w:val="00894C44"/>
    <w:rsid w:val="00894D8B"/>
    <w:rsid w:val="0089509A"/>
    <w:rsid w:val="00896148"/>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D6D8E"/>
    <w:rsid w:val="008E04EC"/>
    <w:rsid w:val="008E0617"/>
    <w:rsid w:val="008E0985"/>
    <w:rsid w:val="008E12D2"/>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6C37"/>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023A"/>
    <w:rsid w:val="00922A9F"/>
    <w:rsid w:val="00922B46"/>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37A98"/>
    <w:rsid w:val="009400CF"/>
    <w:rsid w:val="00940533"/>
    <w:rsid w:val="00940C4A"/>
    <w:rsid w:val="009410AE"/>
    <w:rsid w:val="00941723"/>
    <w:rsid w:val="00942C37"/>
    <w:rsid w:val="009432FE"/>
    <w:rsid w:val="009438F8"/>
    <w:rsid w:val="00944029"/>
    <w:rsid w:val="00944414"/>
    <w:rsid w:val="00945FA9"/>
    <w:rsid w:val="0094691D"/>
    <w:rsid w:val="0095026D"/>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67279"/>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D5D"/>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315"/>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493"/>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45E75"/>
    <w:rsid w:val="00A504A8"/>
    <w:rsid w:val="00A51EC4"/>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67142"/>
    <w:rsid w:val="00A70441"/>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482"/>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3E1B"/>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090"/>
    <w:rsid w:val="00B615E7"/>
    <w:rsid w:val="00B61C12"/>
    <w:rsid w:val="00B624AA"/>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9D"/>
    <w:rsid w:val="00B94407"/>
    <w:rsid w:val="00B94BA4"/>
    <w:rsid w:val="00B95787"/>
    <w:rsid w:val="00B96A00"/>
    <w:rsid w:val="00B977F4"/>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F16"/>
    <w:rsid w:val="00C231C4"/>
    <w:rsid w:val="00C23439"/>
    <w:rsid w:val="00C240A8"/>
    <w:rsid w:val="00C2440F"/>
    <w:rsid w:val="00C25949"/>
    <w:rsid w:val="00C2627E"/>
    <w:rsid w:val="00C26723"/>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78D"/>
    <w:rsid w:val="00C63CB8"/>
    <w:rsid w:val="00C64CE8"/>
    <w:rsid w:val="00C65327"/>
    <w:rsid w:val="00C65F73"/>
    <w:rsid w:val="00C663D3"/>
    <w:rsid w:val="00C67235"/>
    <w:rsid w:val="00C67382"/>
    <w:rsid w:val="00C676E6"/>
    <w:rsid w:val="00C70488"/>
    <w:rsid w:val="00C70E88"/>
    <w:rsid w:val="00C72471"/>
    <w:rsid w:val="00C72B4C"/>
    <w:rsid w:val="00C72C55"/>
    <w:rsid w:val="00C75C0E"/>
    <w:rsid w:val="00C76035"/>
    <w:rsid w:val="00C8086B"/>
    <w:rsid w:val="00C80C0C"/>
    <w:rsid w:val="00C828AD"/>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5F88"/>
    <w:rsid w:val="00D06659"/>
    <w:rsid w:val="00D0699D"/>
    <w:rsid w:val="00D06F15"/>
    <w:rsid w:val="00D076EF"/>
    <w:rsid w:val="00D10935"/>
    <w:rsid w:val="00D1313F"/>
    <w:rsid w:val="00D1362E"/>
    <w:rsid w:val="00D1447E"/>
    <w:rsid w:val="00D144E7"/>
    <w:rsid w:val="00D1457B"/>
    <w:rsid w:val="00D164B7"/>
    <w:rsid w:val="00D16D47"/>
    <w:rsid w:val="00D1747A"/>
    <w:rsid w:val="00D179A5"/>
    <w:rsid w:val="00D205D0"/>
    <w:rsid w:val="00D20B7D"/>
    <w:rsid w:val="00D20D1C"/>
    <w:rsid w:val="00D21306"/>
    <w:rsid w:val="00D2151A"/>
    <w:rsid w:val="00D22151"/>
    <w:rsid w:val="00D22952"/>
    <w:rsid w:val="00D22A2E"/>
    <w:rsid w:val="00D2307A"/>
    <w:rsid w:val="00D240AB"/>
    <w:rsid w:val="00D24383"/>
    <w:rsid w:val="00D2535F"/>
    <w:rsid w:val="00D25C46"/>
    <w:rsid w:val="00D25CA2"/>
    <w:rsid w:val="00D26BCB"/>
    <w:rsid w:val="00D26CC6"/>
    <w:rsid w:val="00D26EEA"/>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DFD"/>
    <w:rsid w:val="00D43647"/>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1C4B"/>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2E2D"/>
    <w:rsid w:val="00E73677"/>
    <w:rsid w:val="00E73C7F"/>
    <w:rsid w:val="00E740D9"/>
    <w:rsid w:val="00E75114"/>
    <w:rsid w:val="00E77A9F"/>
    <w:rsid w:val="00E803E3"/>
    <w:rsid w:val="00E81712"/>
    <w:rsid w:val="00E81B74"/>
    <w:rsid w:val="00E8224F"/>
    <w:rsid w:val="00E832E5"/>
    <w:rsid w:val="00E847FA"/>
    <w:rsid w:val="00E85391"/>
    <w:rsid w:val="00E853FB"/>
    <w:rsid w:val="00E85E3C"/>
    <w:rsid w:val="00E87079"/>
    <w:rsid w:val="00E90D4E"/>
    <w:rsid w:val="00E9113F"/>
    <w:rsid w:val="00E92404"/>
    <w:rsid w:val="00E931C4"/>
    <w:rsid w:val="00E943EE"/>
    <w:rsid w:val="00E94917"/>
    <w:rsid w:val="00E95A3A"/>
    <w:rsid w:val="00E95F92"/>
    <w:rsid w:val="00E96803"/>
    <w:rsid w:val="00E97B7B"/>
    <w:rsid w:val="00EA0385"/>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9B6"/>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486"/>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BC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5DAF"/>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D8DB9-2202-49C3-9FD3-71234F0B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pPr>
      <w:jc w:val="both"/>
    </w:pPr>
    <w:rPr>
      <w:kern w:val="2"/>
      <w:sz w:val="21"/>
      <w:szCs w:val="21"/>
    </w:rPr>
  </w:style>
  <w:style w:type="paragraph" w:customStyle="1" w:styleId="14">
    <w:name w:val="列出段落1"/>
    <w:basedOn w:val="a"/>
    <w:semiHidden/>
    <w:qFormat/>
    <w:rsid w:val="00271A01"/>
    <w:pPr>
      <w:spacing w:before="100" w:beforeAutospacing="1" w:line="256" w:lineRule="auto"/>
      <w:ind w:firstLineChars="200" w:firstLine="420"/>
    </w:pPr>
    <w:rPr>
      <w:rFonts w:eastAsia="宋体"/>
      <w:szCs w:val="21"/>
    </w:rPr>
  </w:style>
  <w:style w:type="table" w:customStyle="1" w:styleId="4-51">
    <w:name w:val="网格表 4 - 着色 51"/>
    <w:basedOn w:val="a1"/>
    <w:qFormat/>
    <w:rsid w:val="00271A01"/>
    <w:rPr>
      <w:rFonts w:eastAsia="Times New Roman"/>
    </w:rPr>
    <w:tblPr>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il"/>
          <w:insideV w:val="nil"/>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3195">
      <w:bodyDiv w:val="1"/>
      <w:marLeft w:val="0"/>
      <w:marRight w:val="0"/>
      <w:marTop w:val="0"/>
      <w:marBottom w:val="0"/>
      <w:divBdr>
        <w:top w:val="none" w:sz="0" w:space="0" w:color="auto"/>
        <w:left w:val="none" w:sz="0" w:space="0" w:color="auto"/>
        <w:bottom w:val="none" w:sz="0" w:space="0" w:color="auto"/>
        <w:right w:val="none" w:sz="0" w:space="0" w:color="auto"/>
      </w:divBdr>
    </w:div>
    <w:div w:id="297495699">
      <w:bodyDiv w:val="1"/>
      <w:marLeft w:val="0"/>
      <w:marRight w:val="0"/>
      <w:marTop w:val="0"/>
      <w:marBottom w:val="0"/>
      <w:divBdr>
        <w:top w:val="none" w:sz="0" w:space="0" w:color="auto"/>
        <w:left w:val="none" w:sz="0" w:space="0" w:color="auto"/>
        <w:bottom w:val="none" w:sz="0" w:space="0" w:color="auto"/>
        <w:right w:val="none" w:sz="0" w:space="0" w:color="auto"/>
      </w:divBdr>
    </w:div>
    <w:div w:id="919103557">
      <w:bodyDiv w:val="1"/>
      <w:marLeft w:val="0"/>
      <w:marRight w:val="0"/>
      <w:marTop w:val="0"/>
      <w:marBottom w:val="0"/>
      <w:divBdr>
        <w:top w:val="none" w:sz="0" w:space="0" w:color="auto"/>
        <w:left w:val="none" w:sz="0" w:space="0" w:color="auto"/>
        <w:bottom w:val="none" w:sz="0" w:space="0" w:color="auto"/>
        <w:right w:val="none" w:sz="0" w:space="0" w:color="auto"/>
      </w:divBdr>
    </w:div>
    <w:div w:id="1658804492">
      <w:bodyDiv w:val="1"/>
      <w:marLeft w:val="0"/>
      <w:marRight w:val="0"/>
      <w:marTop w:val="0"/>
      <w:marBottom w:val="0"/>
      <w:divBdr>
        <w:top w:val="none" w:sz="0" w:space="0" w:color="auto"/>
        <w:left w:val="none" w:sz="0" w:space="0" w:color="auto"/>
        <w:bottom w:val="none" w:sz="0" w:space="0" w:color="auto"/>
        <w:right w:val="none" w:sz="0" w:space="0" w:color="auto"/>
      </w:divBdr>
    </w:div>
    <w:div w:id="174367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292B-2839-4D37-B457-363287A1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Pages>
  <Words>2114</Words>
  <Characters>12055</Characters>
  <Application>Microsoft Office Word</Application>
  <DocSecurity>0</DocSecurity>
  <Lines>100</Lines>
  <Paragraphs>28</Paragraphs>
  <ScaleCrop>false</ScaleCrop>
  <Company>www.zte.com.cn</Company>
  <LinksUpToDate>false</LinksUpToDate>
  <CharactersWithSpaces>14141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238</cp:revision>
  <cp:lastPrinted>2113-01-01T00:00:00Z</cp:lastPrinted>
  <dcterms:created xsi:type="dcterms:W3CDTF">2022-08-08T13:07:00Z</dcterms:created>
  <dcterms:modified xsi:type="dcterms:W3CDTF">2023-05-12T05:32:00Z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